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47" w:lineRule="exact"/>
        <w:ind w:left="601" w:right="231"/>
        <w:jc w:val="center"/>
        <w:rPr>
          <w:rFonts w:ascii="华文中宋" w:hAnsi="华文中宋" w:eastAsia="华文中宋"/>
          <w:color w:val="000000"/>
          <w:sz w:val="72"/>
          <w:szCs w:val="72"/>
        </w:rPr>
      </w:pPr>
    </w:p>
    <w:p>
      <w:pPr>
        <w:spacing w:line="747" w:lineRule="exact"/>
        <w:ind w:left="601" w:right="231"/>
        <w:jc w:val="center"/>
        <w:rPr>
          <w:rFonts w:ascii="黑体" w:hAnsi="黑体" w:eastAsia="黑体" w:cs="微软雅黑"/>
          <w:sz w:val="40"/>
          <w:szCs w:val="22"/>
        </w:rPr>
      </w:pPr>
      <w:bookmarkStart w:id="0" w:name="_Hlk154736294"/>
      <w:bookmarkEnd w:id="0"/>
      <w:r>
        <w:rPr>
          <w:rFonts w:hint="eastAsia" w:ascii="华文中宋" w:hAnsi="华文中宋" w:eastAsia="华文中宋"/>
          <w:color w:val="000000"/>
          <w:sz w:val="72"/>
          <w:szCs w:val="72"/>
        </w:rPr>
        <w:drawing>
          <wp:inline distT="0" distB="0" distL="0" distR="0">
            <wp:extent cx="3600450" cy="419100"/>
            <wp:effectExtent l="0" t="0" r="0" b="0"/>
            <wp:docPr id="2" name="图片 2" descr="上海工程技术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海工程技术大学"/>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600450" cy="419100"/>
                    </a:xfrm>
                    <a:prstGeom prst="rect">
                      <a:avLst/>
                    </a:prstGeom>
                    <a:noFill/>
                    <a:ln>
                      <a:noFill/>
                    </a:ln>
                  </pic:spPr>
                </pic:pic>
              </a:graphicData>
            </a:graphic>
          </wp:inline>
        </w:drawing>
      </w:r>
    </w:p>
    <w:p>
      <w:pPr>
        <w:ind w:left="595" w:right="231"/>
        <w:jc w:val="center"/>
        <w:rPr>
          <w:rFonts w:ascii="微软雅黑" w:hAnsi="微软雅黑" w:eastAsia="微软雅黑" w:cs="微软雅黑"/>
          <w:sz w:val="36"/>
          <w:szCs w:val="22"/>
        </w:rPr>
      </w:pPr>
    </w:p>
    <w:p>
      <w:pPr>
        <w:ind w:left="595" w:right="231"/>
        <w:jc w:val="center"/>
      </w:pPr>
      <w:r>
        <w:rPr>
          <w:rFonts w:hint="eastAsia" w:ascii="微软雅黑" w:hAnsi="微软雅黑" w:eastAsia="微软雅黑" w:cs="微软雅黑"/>
          <w:sz w:val="36"/>
          <w:szCs w:val="22"/>
        </w:rPr>
        <w:t>管理科学（东方管理）专业</w:t>
      </w:r>
    </w:p>
    <w:p>
      <w:pPr>
        <w:spacing w:line="747" w:lineRule="exact"/>
        <w:ind w:left="601" w:right="231"/>
        <w:jc w:val="center"/>
        <w:rPr>
          <w:rFonts w:ascii="黑体" w:hAnsi="黑体" w:eastAsia="黑体" w:cs="微软雅黑"/>
          <w:sz w:val="40"/>
          <w:szCs w:val="22"/>
        </w:rPr>
      </w:pPr>
      <w:r>
        <w:rPr>
          <w:rFonts w:hint="eastAsia" w:ascii="黑体" w:hAnsi="黑体" w:eastAsia="黑体" w:cs="微软雅黑"/>
          <w:sz w:val="40"/>
          <w:szCs w:val="22"/>
        </w:rPr>
        <w:t>2</w:t>
      </w:r>
      <w:r>
        <w:rPr>
          <w:rFonts w:ascii="黑体" w:hAnsi="黑体" w:eastAsia="黑体" w:cs="微软雅黑"/>
          <w:sz w:val="40"/>
          <w:szCs w:val="22"/>
        </w:rPr>
        <w:t>023-2024</w:t>
      </w:r>
      <w:r>
        <w:rPr>
          <w:rFonts w:hint="eastAsia" w:ascii="黑体" w:hAnsi="黑体" w:eastAsia="黑体" w:cs="微软雅黑"/>
          <w:sz w:val="40"/>
          <w:szCs w:val="22"/>
        </w:rPr>
        <w:t>学年本科教学质量报告</w:t>
      </w:r>
    </w:p>
    <w:p>
      <w:pPr>
        <w:spacing w:line="747" w:lineRule="exact"/>
        <w:ind w:left="601" w:right="231"/>
        <w:jc w:val="center"/>
        <w:rPr>
          <w:rFonts w:ascii="黑体" w:hAnsi="黑体" w:eastAsia="黑体"/>
          <w:sz w:val="20"/>
          <w:szCs w:val="20"/>
        </w:rPr>
      </w:pPr>
    </w:p>
    <w:p>
      <w:pPr>
        <w:ind w:left="601" w:right="232"/>
        <w:jc w:val="center"/>
      </w:pPr>
      <w:r>
        <w:rPr>
          <w:rFonts w:hint="eastAsia" w:ascii="微软雅黑" w:hAnsi="微软雅黑" w:eastAsia="微软雅黑"/>
          <w:color w:val="333333"/>
          <w:sz w:val="15"/>
          <w:szCs w:val="15"/>
        </w:rPr>
        <w:drawing>
          <wp:inline distT="0" distB="0" distL="0" distR="0">
            <wp:extent cx="1800225" cy="1800225"/>
            <wp:effectExtent l="0" t="0" r="9525" b="9525"/>
            <wp:docPr id="1" name="图片 1" descr="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00225" cy="1800225"/>
                    </a:xfrm>
                    <a:prstGeom prst="rect">
                      <a:avLst/>
                    </a:prstGeom>
                    <a:noFill/>
                    <a:ln>
                      <a:noFill/>
                    </a:ln>
                  </pic:spPr>
                </pic:pic>
              </a:graphicData>
            </a:graphic>
          </wp:inline>
        </w:drawing>
      </w:r>
    </w:p>
    <w:p>
      <w:pPr>
        <w:pStyle w:val="24"/>
        <w:spacing w:before="98" w:beforeAutospacing="0" w:after="0" w:afterAutospacing="0"/>
        <w:ind w:left="597" w:right="231"/>
        <w:jc w:val="center"/>
      </w:pPr>
    </w:p>
    <w:tbl>
      <w:tblPr>
        <w:tblStyle w:val="17"/>
        <w:tblW w:w="0" w:type="auto"/>
        <w:jc w:val="center"/>
        <w:tblLayout w:type="fixed"/>
        <w:tblCellMar>
          <w:top w:w="0" w:type="dxa"/>
          <w:left w:w="0" w:type="dxa"/>
          <w:bottom w:w="0" w:type="dxa"/>
          <w:right w:w="0" w:type="dxa"/>
        </w:tblCellMar>
      </w:tblPr>
      <w:tblGrid>
        <w:gridCol w:w="6880"/>
      </w:tblGrid>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firstLineChars="300"/>
              <w:jc w:val="center"/>
              <w:rPr>
                <w:rFonts w:ascii="微软雅黑" w:hAnsi="微软雅黑" w:eastAsia="微软雅黑"/>
                <w:color w:val="333333"/>
                <w:sz w:val="15"/>
                <w:szCs w:val="15"/>
              </w:rPr>
            </w:pPr>
            <w:r>
              <w:rPr>
                <w:rFonts w:hint="eastAsia" w:ascii="楷体" w:hAnsi="楷体" w:eastAsia="楷体"/>
                <w:color w:val="000000"/>
                <w:sz w:val="30"/>
                <w:szCs w:val="30"/>
              </w:rPr>
              <w:t>专业代码：</w:t>
            </w:r>
            <w:r>
              <w:rPr>
                <w:rFonts w:hint="eastAsia"/>
                <w:i/>
                <w:iCs/>
                <w:color w:val="000000"/>
                <w:sz w:val="30"/>
                <w:szCs w:val="30"/>
                <w:u w:val="single"/>
              </w:rPr>
              <w:t xml:space="preserve"> </w:t>
            </w:r>
            <w:r>
              <w:rPr>
                <w:color w:val="000000"/>
                <w:sz w:val="30"/>
                <w:szCs w:val="30"/>
                <w:u w:val="single"/>
              </w:rPr>
              <w:t xml:space="preserve">120101 </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rPr>
                <w:rFonts w:ascii="微软雅黑" w:hAnsi="微软雅黑" w:eastAsia="微软雅黑"/>
                <w:color w:val="333333"/>
                <w:sz w:val="15"/>
                <w:szCs w:val="15"/>
              </w:rPr>
            </w:pPr>
            <w:r>
              <w:rPr>
                <w:rFonts w:hint="eastAsia" w:ascii="楷体" w:hAnsi="楷体" w:eastAsia="楷体"/>
                <w:color w:val="000000"/>
                <w:sz w:val="30"/>
                <w:szCs w:val="30"/>
              </w:rPr>
              <w:t>专业负责人：</w:t>
            </w:r>
            <w:r>
              <w:rPr>
                <w:rFonts w:hint="eastAsia" w:ascii="微软雅黑" w:hAnsi="微软雅黑" w:eastAsia="微软雅黑"/>
                <w:color w:val="000000"/>
                <w:sz w:val="30"/>
                <w:szCs w:val="30"/>
                <w:u w:val="single"/>
              </w:rPr>
              <w:t>   孟勇          （签字）</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rPr>
                <w:rFonts w:ascii="微软雅黑" w:hAnsi="微软雅黑" w:eastAsia="微软雅黑"/>
                <w:color w:val="333333"/>
                <w:sz w:val="15"/>
                <w:szCs w:val="15"/>
              </w:rPr>
            </w:pPr>
            <w:bookmarkStart w:id="100" w:name="_GoBack" w:colFirst="0" w:colLast="0"/>
            <w:r>
              <w:rPr>
                <w:rFonts w:hint="eastAsia" w:ascii="楷体" w:hAnsi="楷体" w:eastAsia="楷体"/>
                <w:color w:val="000000"/>
                <w:sz w:val="30"/>
                <w:szCs w:val="30"/>
              </w:rPr>
              <w:t>教学院长：</w:t>
            </w:r>
            <w:r>
              <w:rPr>
                <w:rFonts w:hint="eastAsia" w:ascii="微软雅黑" w:hAnsi="微软雅黑" w:eastAsia="微软雅黑"/>
                <w:color w:val="000000"/>
                <w:sz w:val="30"/>
                <w:szCs w:val="30"/>
                <w:u w:val="single"/>
              </w:rPr>
              <w:t>   </w:t>
            </w:r>
            <w:r>
              <w:rPr>
                <w:rFonts w:ascii="微软雅黑" w:hAnsi="微软雅黑" w:eastAsia="微软雅黑"/>
                <w:color w:val="000000"/>
                <w:sz w:val="30"/>
                <w:szCs w:val="30"/>
                <w:u w:val="single"/>
              </w:rPr>
              <w:t xml:space="preserve">  </w:t>
            </w:r>
            <w:r>
              <w:rPr>
                <w:rFonts w:hint="eastAsia" w:ascii="微软雅黑" w:hAnsi="微软雅黑" w:eastAsia="微软雅黑"/>
                <w:color w:val="000000"/>
                <w:sz w:val="30"/>
                <w:szCs w:val="30"/>
                <w:u w:val="single"/>
              </w:rPr>
              <w:t>罗娟          （签字）</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rPr>
                <w:rFonts w:ascii="微软雅黑" w:hAnsi="微软雅黑" w:eastAsia="微软雅黑"/>
                <w:color w:val="333333"/>
                <w:sz w:val="15"/>
                <w:szCs w:val="15"/>
              </w:rPr>
            </w:pPr>
            <w:r>
              <w:rPr>
                <w:rFonts w:hint="eastAsia" w:ascii="楷体" w:hAnsi="楷体" w:eastAsia="楷体"/>
                <w:color w:val="000000"/>
                <w:sz w:val="30"/>
                <w:szCs w:val="30"/>
              </w:rPr>
              <w:t>学院院长：</w:t>
            </w:r>
            <w:r>
              <w:rPr>
                <w:rFonts w:hint="eastAsia" w:ascii="微软雅黑" w:hAnsi="微软雅黑" w:eastAsia="微软雅黑"/>
                <w:color w:val="000000"/>
                <w:sz w:val="30"/>
                <w:szCs w:val="30"/>
                <w:u w:val="single"/>
              </w:rPr>
              <w:t>   </w:t>
            </w:r>
            <w:r>
              <w:rPr>
                <w:rFonts w:ascii="微软雅黑" w:hAnsi="微软雅黑" w:eastAsia="微软雅黑"/>
                <w:color w:val="000000"/>
                <w:sz w:val="30"/>
                <w:szCs w:val="30"/>
                <w:u w:val="single"/>
              </w:rPr>
              <w:t xml:space="preserve">  </w:t>
            </w:r>
            <w:r>
              <w:rPr>
                <w:rFonts w:hint="eastAsia" w:ascii="微软雅黑" w:hAnsi="微软雅黑" w:eastAsia="微软雅黑"/>
                <w:color w:val="000000"/>
                <w:sz w:val="30"/>
                <w:szCs w:val="30"/>
                <w:u w:val="single"/>
              </w:rPr>
              <w:t>胡斌            （签字）</w:t>
            </w:r>
          </w:p>
        </w:tc>
      </w:tr>
      <w:tr>
        <w:tblPrEx>
          <w:tblCellMar>
            <w:top w:w="0" w:type="dxa"/>
            <w:left w:w="0" w:type="dxa"/>
            <w:bottom w:w="0" w:type="dxa"/>
            <w:right w:w="0" w:type="dxa"/>
          </w:tblCellMar>
        </w:tblPrEx>
        <w:trPr>
          <w:trHeight w:val="481"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rPr>
                <w:rFonts w:ascii="微软雅黑" w:hAnsi="微软雅黑" w:eastAsia="微软雅黑"/>
                <w:color w:val="333333"/>
                <w:sz w:val="15"/>
                <w:szCs w:val="15"/>
              </w:rPr>
            </w:pPr>
            <w:r>
              <w:rPr>
                <w:rFonts w:hint="eastAsia" w:ascii="楷体" w:hAnsi="楷体" w:eastAsia="楷体"/>
                <w:color w:val="000000"/>
                <w:sz w:val="30"/>
                <w:szCs w:val="30"/>
              </w:rPr>
              <w:t>学院名称：</w:t>
            </w:r>
            <w:r>
              <w:rPr>
                <w:rFonts w:hint="eastAsia" w:ascii="微软雅黑" w:hAnsi="微软雅黑" w:eastAsia="微软雅黑"/>
                <w:color w:val="000000"/>
                <w:sz w:val="30"/>
                <w:szCs w:val="30"/>
                <w:u w:val="single"/>
              </w:rPr>
              <w:t>   </w:t>
            </w:r>
            <w:r>
              <w:rPr>
                <w:rFonts w:ascii="微软雅黑" w:hAnsi="微软雅黑" w:eastAsia="微软雅黑"/>
                <w:color w:val="000000"/>
                <w:sz w:val="30"/>
                <w:szCs w:val="30"/>
                <w:u w:val="single"/>
              </w:rPr>
              <w:t xml:space="preserve">  </w:t>
            </w:r>
            <w:r>
              <w:rPr>
                <w:rFonts w:hint="eastAsia" w:ascii="微软雅黑" w:hAnsi="微软雅黑" w:eastAsia="微软雅黑"/>
                <w:color w:val="000000"/>
                <w:sz w:val="30"/>
                <w:szCs w:val="30"/>
                <w:u w:val="single"/>
              </w:rPr>
              <w:t>管理学院      （盖章）</w:t>
            </w:r>
          </w:p>
        </w:tc>
      </w:tr>
      <w:bookmarkEnd w:id="100"/>
    </w:tbl>
    <w:p>
      <w:pPr>
        <w:pStyle w:val="24"/>
        <w:spacing w:before="98" w:beforeAutospacing="0" w:after="0" w:afterAutospacing="0"/>
        <w:ind w:left="597" w:right="231"/>
        <w:jc w:val="center"/>
      </w:pPr>
    </w:p>
    <w:p>
      <w:pPr>
        <w:pStyle w:val="24"/>
        <w:spacing w:before="98" w:beforeAutospacing="0" w:after="0" w:afterAutospacing="0"/>
        <w:ind w:left="597" w:right="231"/>
        <w:jc w:val="center"/>
      </w:pPr>
    </w:p>
    <w:p>
      <w:pPr>
        <w:pStyle w:val="24"/>
        <w:spacing w:before="98" w:beforeAutospacing="0" w:after="0" w:afterAutospacing="0"/>
        <w:ind w:left="597" w:right="231"/>
        <w:jc w:val="center"/>
      </w:pPr>
    </w:p>
    <w:p>
      <w:pPr>
        <w:pStyle w:val="24"/>
        <w:spacing w:before="98" w:beforeAutospacing="0" w:after="0" w:afterAutospacing="0"/>
        <w:ind w:left="597" w:right="231"/>
        <w:jc w:val="center"/>
      </w:pPr>
      <w:r>
        <w:t>2024</w:t>
      </w:r>
      <w:r>
        <w:rPr>
          <w:rFonts w:hint="eastAsia"/>
        </w:rPr>
        <w:t>年_</w:t>
      </w:r>
      <w:r>
        <w:t>_1__</w:t>
      </w:r>
      <w:r>
        <w:rPr>
          <w:rFonts w:hint="eastAsia"/>
        </w:rPr>
        <w:t>月</w:t>
      </w:r>
    </w:p>
    <w:p>
      <w:r>
        <w:br w:type="page"/>
      </w:r>
    </w:p>
    <w:p>
      <w:pPr>
        <w:jc w:val="center"/>
        <w:rPr>
          <w:rFonts w:ascii="黑体" w:hAnsi="黑体" w:eastAsia="黑体"/>
          <w:sz w:val="32"/>
          <w:szCs w:val="32"/>
        </w:rPr>
      </w:pPr>
      <w:r>
        <w:rPr>
          <w:rFonts w:ascii="黑体" w:hAnsi="黑体" w:eastAsia="黑体"/>
          <w:sz w:val="32"/>
          <w:szCs w:val="32"/>
          <w:lang w:val="zh-CN"/>
        </w:rPr>
        <w:t>目录</w:t>
      </w:r>
    </w:p>
    <w:p>
      <w:pPr>
        <w:pStyle w:val="16"/>
        <w:tabs>
          <w:tab w:val="left" w:pos="960"/>
          <w:tab w:val="right" w:leader="dot" w:pos="8296"/>
        </w:tabs>
        <w:ind w:left="480"/>
        <w:rPr>
          <w:rFonts w:asciiTheme="minorHAnsi" w:hAnsiTheme="minorHAnsi" w:eastAsiaTheme="minorEastAsia" w:cstheme="minorBidi"/>
          <w:kern w:val="2"/>
          <w:sz w:val="21"/>
          <w:szCs w:val="22"/>
        </w:rPr>
      </w:pPr>
      <w:r>
        <w:fldChar w:fldCharType="begin"/>
      </w:r>
      <w:r>
        <w:instrText xml:space="preserve"> TOC \o "1-3" \h \z \u </w:instrText>
      </w:r>
      <w:r>
        <w:fldChar w:fldCharType="separate"/>
      </w:r>
      <w:r>
        <w:fldChar w:fldCharType="begin"/>
      </w:r>
      <w:r>
        <w:instrText xml:space="preserve"> HYPERLINK \l "_Toc155617873" </w:instrText>
      </w:r>
      <w:r>
        <w:fldChar w:fldCharType="separate"/>
      </w:r>
      <w:r>
        <w:rPr>
          <w:rStyle w:val="21"/>
        </w:rPr>
        <w:t>说</w:t>
      </w:r>
      <w:r>
        <w:rPr>
          <w:rFonts w:asciiTheme="minorHAnsi" w:hAnsiTheme="minorHAnsi" w:eastAsiaTheme="minorEastAsia" w:cstheme="minorBidi"/>
          <w:kern w:val="2"/>
          <w:sz w:val="21"/>
          <w:szCs w:val="22"/>
        </w:rPr>
        <w:tab/>
      </w:r>
      <w:r>
        <w:rPr>
          <w:rStyle w:val="21"/>
        </w:rPr>
        <w:t>明</w:t>
      </w:r>
      <w:r>
        <w:tab/>
      </w:r>
      <w:r>
        <w:fldChar w:fldCharType="begin"/>
      </w:r>
      <w:r>
        <w:instrText xml:space="preserve"> PAGEREF _Toc155617873 \h </w:instrText>
      </w:r>
      <w:r>
        <w:fldChar w:fldCharType="separate"/>
      </w:r>
      <w:r>
        <w:t>4</w:t>
      </w:r>
      <w:r>
        <w:fldChar w:fldCharType="end"/>
      </w:r>
      <w:r>
        <w:fldChar w:fldCharType="end"/>
      </w:r>
    </w:p>
    <w:p>
      <w:pPr>
        <w:pStyle w:val="16"/>
        <w:tabs>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"_Toc155617874" </w:instrText>
      </w:r>
      <w:r>
        <w:fldChar w:fldCharType="separate"/>
      </w:r>
      <w:r>
        <w:rPr>
          <w:rStyle w:val="21"/>
        </w:rPr>
        <w:t>1.专业概况</w:t>
      </w:r>
      <w:r>
        <w:tab/>
      </w:r>
      <w:r>
        <w:fldChar w:fldCharType="begin"/>
      </w:r>
      <w:r>
        <w:instrText xml:space="preserve"> PAGEREF _Toc155617874 \h </w:instrText>
      </w:r>
      <w:r>
        <w:fldChar w:fldCharType="separate"/>
      </w:r>
      <w:r>
        <w:t>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"_Toc155617875" </w:instrText>
      </w:r>
      <w:r>
        <w:fldChar w:fldCharType="separate"/>
      </w:r>
      <w:r>
        <w:rPr>
          <w:rStyle w:val="21"/>
        </w:rPr>
        <w:t>1.1专业设置情况</w:t>
      </w:r>
      <w:r>
        <w:tab/>
      </w:r>
      <w:r>
        <w:fldChar w:fldCharType="begin"/>
      </w:r>
      <w:r>
        <w:instrText xml:space="preserve"> PAGEREF _Toc155617875 \h </w:instrText>
      </w:r>
      <w:r>
        <w:fldChar w:fldCharType="separate"/>
      </w:r>
      <w:r>
        <w:t>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"_Toc155617876" </w:instrText>
      </w:r>
      <w:r>
        <w:fldChar w:fldCharType="separate"/>
      </w:r>
      <w:r>
        <w:rPr>
          <w:rStyle w:val="21"/>
        </w:rPr>
        <w:t>1.2人才培养目标</w:t>
      </w:r>
      <w:r>
        <w:tab/>
      </w:r>
      <w:r>
        <w:fldChar w:fldCharType="begin"/>
      </w:r>
      <w:r>
        <w:instrText xml:space="preserve"> PAGEREF _Toc155617876 \h </w:instrText>
      </w:r>
      <w:r>
        <w:fldChar w:fldCharType="separate"/>
      </w:r>
      <w:r>
        <w:t>6</w:t>
      </w:r>
      <w:r>
        <w:fldChar w:fldCharType="end"/>
      </w:r>
      <w:r>
        <w:fldChar w:fldCharType="end"/>
      </w:r>
    </w:p>
    <w:p>
      <w:pPr>
        <w:pStyle w:val="16"/>
        <w:tabs>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"_Toc155617877" </w:instrText>
      </w:r>
      <w:r>
        <w:fldChar w:fldCharType="separate"/>
      </w:r>
      <w:r>
        <w:rPr>
          <w:rStyle w:val="21"/>
        </w:rPr>
        <w:t>2.毕业要求</w:t>
      </w:r>
      <w:r>
        <w:tab/>
      </w:r>
      <w:r>
        <w:fldChar w:fldCharType="begin"/>
      </w:r>
      <w:r>
        <w:instrText xml:space="preserve"> PAGEREF _Toc155617877 \h </w:instrText>
      </w:r>
      <w:r>
        <w:fldChar w:fldCharType="separate"/>
      </w:r>
      <w:r>
        <w:t>6</w:t>
      </w:r>
      <w:r>
        <w:fldChar w:fldCharType="end"/>
      </w:r>
      <w:r>
        <w:fldChar w:fldCharType="end"/>
      </w:r>
    </w:p>
    <w:p>
      <w:pPr>
        <w:pStyle w:val="16"/>
        <w:tabs>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"_Toc155617878" </w:instrText>
      </w:r>
      <w:r>
        <w:fldChar w:fldCharType="separate"/>
      </w:r>
      <w:r>
        <w:rPr>
          <w:rStyle w:val="21"/>
        </w:rPr>
        <w:t>3.培养情况</w:t>
      </w:r>
      <w:r>
        <w:tab/>
      </w:r>
      <w:r>
        <w:fldChar w:fldCharType="begin"/>
      </w:r>
      <w:r>
        <w:instrText xml:space="preserve"> PAGEREF _Toc155617878 \h </w:instrText>
      </w:r>
      <w:r>
        <w:fldChar w:fldCharType="separate"/>
      </w:r>
      <w:r>
        <w:t>6</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"_Toc155617879" </w:instrText>
      </w:r>
      <w:r>
        <w:fldChar w:fldCharType="separate"/>
      </w:r>
      <w:r>
        <w:rPr>
          <w:rStyle w:val="21"/>
        </w:rPr>
        <w:t>3.1专业建设情况</w:t>
      </w:r>
      <w:r>
        <w:tab/>
      </w:r>
      <w:r>
        <w:fldChar w:fldCharType="begin"/>
      </w:r>
      <w:r>
        <w:instrText xml:space="preserve"> PAGEREF _Toc155617879 \h </w:instrText>
      </w:r>
      <w:r>
        <w:fldChar w:fldCharType="separate"/>
      </w:r>
      <w:r>
        <w:t>6</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"_Toc155617880" </w:instrText>
      </w:r>
      <w:r>
        <w:fldChar w:fldCharType="separate"/>
      </w:r>
      <w:r>
        <w:rPr>
          <w:rStyle w:val="21"/>
        </w:rPr>
        <w:t>3.2专业教学计划</w:t>
      </w:r>
      <w:r>
        <w:tab/>
      </w:r>
      <w:r>
        <w:fldChar w:fldCharType="begin"/>
      </w:r>
      <w:r>
        <w:instrText xml:space="preserve"> PAGEREF _Toc155617880 \h </w:instrText>
      </w:r>
      <w:r>
        <w:fldChar w:fldCharType="separate"/>
      </w:r>
      <w:r>
        <w:t>6</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"_Toc155617881" </w:instrText>
      </w:r>
      <w:r>
        <w:fldChar w:fldCharType="separate"/>
      </w:r>
      <w:r>
        <w:rPr>
          <w:rStyle w:val="21"/>
        </w:rPr>
        <w:t>3.3专业课开设情况</w:t>
      </w:r>
      <w:r>
        <w:tab/>
      </w:r>
      <w:r>
        <w:fldChar w:fldCharType="begin"/>
      </w:r>
      <w:r>
        <w:instrText xml:space="preserve"> PAGEREF _Toc155617881 \h </w:instrText>
      </w:r>
      <w:r>
        <w:fldChar w:fldCharType="separate"/>
      </w:r>
      <w:r>
        <w:t>7</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"_Toc155617882" </w:instrText>
      </w:r>
      <w:r>
        <w:fldChar w:fldCharType="separate"/>
      </w:r>
      <w:r>
        <w:rPr>
          <w:rStyle w:val="21"/>
        </w:rPr>
        <w:t>3.4专业课课堂规模</w:t>
      </w:r>
      <w:r>
        <w:tab/>
      </w:r>
      <w:r>
        <w:fldChar w:fldCharType="begin"/>
      </w:r>
      <w:r>
        <w:instrText xml:space="preserve"> PAGEREF _Toc155617882 \h </w:instrText>
      </w:r>
      <w:r>
        <w:fldChar w:fldCharType="separate"/>
      </w:r>
      <w:r>
        <w:t>7</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"_Toc155617883" </w:instrText>
      </w:r>
      <w:r>
        <w:fldChar w:fldCharType="separate"/>
      </w:r>
      <w:r>
        <w:rPr>
          <w:rStyle w:val="21"/>
        </w:rPr>
        <w:t>3.5专业的核心课程情况</w:t>
      </w:r>
      <w:r>
        <w:tab/>
      </w:r>
      <w:r>
        <w:fldChar w:fldCharType="begin"/>
      </w:r>
      <w:r>
        <w:instrText xml:space="preserve"> PAGEREF _Toc155617883 \h </w:instrText>
      </w:r>
      <w:r>
        <w:fldChar w:fldCharType="separate"/>
      </w:r>
      <w:r>
        <w:t>7</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"_Toc155617884" </w:instrText>
      </w:r>
      <w:r>
        <w:fldChar w:fldCharType="separate"/>
      </w:r>
      <w:r>
        <w:rPr>
          <w:rStyle w:val="21"/>
        </w:rPr>
        <w:t>3.6实验教学情况</w:t>
      </w:r>
      <w:r>
        <w:tab/>
      </w:r>
      <w:r>
        <w:fldChar w:fldCharType="begin"/>
      </w:r>
      <w:r>
        <w:instrText xml:space="preserve"> PAGEREF _Toc155617884 \h </w:instrText>
      </w:r>
      <w:r>
        <w:fldChar w:fldCharType="separate"/>
      </w:r>
      <w:r>
        <w:t>8</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"_Toc155617885" </w:instrText>
      </w:r>
      <w:r>
        <w:fldChar w:fldCharType="separate"/>
      </w:r>
      <w:r>
        <w:rPr>
          <w:rStyle w:val="21"/>
        </w:rPr>
        <w:t>3.7实践教学情况</w:t>
      </w:r>
      <w:r>
        <w:tab/>
      </w:r>
      <w:r>
        <w:fldChar w:fldCharType="begin"/>
      </w:r>
      <w:r>
        <w:instrText xml:space="preserve"> PAGEREF _Toc155617885 \h </w:instrText>
      </w:r>
      <w:r>
        <w:fldChar w:fldCharType="separate"/>
      </w:r>
      <w:r>
        <w:t>9</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"_Toc155617886" </w:instrText>
      </w:r>
      <w:r>
        <w:fldChar w:fldCharType="separate"/>
      </w:r>
      <w:r>
        <w:rPr>
          <w:rStyle w:val="21"/>
        </w:rPr>
        <w:t>3.8创新创业教育</w:t>
      </w:r>
      <w:r>
        <w:tab/>
      </w:r>
      <w:r>
        <w:fldChar w:fldCharType="begin"/>
      </w:r>
      <w:r>
        <w:instrText xml:space="preserve"> PAGEREF _Toc155617886 \h </w:instrText>
      </w:r>
      <w:r>
        <w:fldChar w:fldCharType="separate"/>
      </w:r>
      <w:r>
        <w:t>9</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"_Toc155617887" </w:instrText>
      </w:r>
      <w:r>
        <w:fldChar w:fldCharType="separate"/>
      </w:r>
      <w:r>
        <w:rPr>
          <w:rStyle w:val="21"/>
        </w:rPr>
        <w:t>3.9学生毕业综合训练情况</w:t>
      </w:r>
      <w:r>
        <w:tab/>
      </w:r>
      <w:r>
        <w:fldChar w:fldCharType="begin"/>
      </w:r>
      <w:r>
        <w:instrText xml:space="preserve"> PAGEREF _Toc155617887 \h </w:instrText>
      </w:r>
      <w:r>
        <w:fldChar w:fldCharType="separate"/>
      </w:r>
      <w:r>
        <w:t>9</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"_Toc155617888" </w:instrText>
      </w:r>
      <w:r>
        <w:fldChar w:fldCharType="separate"/>
      </w:r>
      <w:r>
        <w:rPr>
          <w:rStyle w:val="21"/>
        </w:rPr>
        <w:t>3.10教学改革</w:t>
      </w:r>
      <w:r>
        <w:tab/>
      </w:r>
      <w:r>
        <w:fldChar w:fldCharType="begin"/>
      </w:r>
      <w:r>
        <w:instrText xml:space="preserve"> PAGEREF _Toc155617888 \h </w:instrText>
      </w:r>
      <w:r>
        <w:fldChar w:fldCharType="separate"/>
      </w:r>
      <w:r>
        <w:t>9</w:t>
      </w:r>
      <w:r>
        <w:fldChar w:fldCharType="end"/>
      </w:r>
      <w:r>
        <w:fldChar w:fldCharType="end"/>
      </w:r>
    </w:p>
    <w:p>
      <w:pPr>
        <w:pStyle w:val="16"/>
        <w:tabs>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"_Toc155617889" </w:instrText>
      </w:r>
      <w:r>
        <w:fldChar w:fldCharType="separate"/>
      </w:r>
      <w:r>
        <w:rPr>
          <w:rStyle w:val="21"/>
        </w:rPr>
        <w:t>4.教师队伍</w:t>
      </w:r>
      <w:r>
        <w:tab/>
      </w:r>
      <w:r>
        <w:fldChar w:fldCharType="begin"/>
      </w:r>
      <w:r>
        <w:instrText xml:space="preserve"> PAGEREF _Toc155617889 \h </w:instrText>
      </w:r>
      <w:r>
        <w:fldChar w:fldCharType="separate"/>
      </w:r>
      <w:r>
        <w:t>10</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"_Toc155617890" </w:instrText>
      </w:r>
      <w:r>
        <w:fldChar w:fldCharType="separate"/>
      </w:r>
      <w:r>
        <w:rPr>
          <w:rStyle w:val="21"/>
        </w:rPr>
        <w:t>4.1专业教师数量与结构</w:t>
      </w:r>
      <w:r>
        <w:tab/>
      </w:r>
      <w:r>
        <w:fldChar w:fldCharType="begin"/>
      </w:r>
      <w:r>
        <w:instrText xml:space="preserve"> PAGEREF _Toc155617890 \h </w:instrText>
      </w:r>
      <w:r>
        <w:fldChar w:fldCharType="separate"/>
      </w:r>
      <w:r>
        <w:t>10</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"_Toc155617891" </w:instrText>
      </w:r>
      <w:r>
        <w:fldChar w:fldCharType="separate"/>
      </w:r>
      <w:r>
        <w:rPr>
          <w:rStyle w:val="21"/>
        </w:rPr>
        <w:t>4.2授课师资分析</w:t>
      </w:r>
      <w:r>
        <w:tab/>
      </w:r>
      <w:r>
        <w:fldChar w:fldCharType="begin"/>
      </w:r>
      <w:r>
        <w:instrText xml:space="preserve"> PAGEREF _Toc155617891 \h </w:instrText>
      </w:r>
      <w:r>
        <w:fldChar w:fldCharType="separate"/>
      </w:r>
      <w:r>
        <w:t>11</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"_Toc155617892" </w:instrText>
      </w:r>
      <w:r>
        <w:fldChar w:fldCharType="separate"/>
      </w:r>
      <w:r>
        <w:rPr>
          <w:rStyle w:val="21"/>
        </w:rPr>
        <w:t>4.3教师教学科研情况</w:t>
      </w:r>
      <w:r>
        <w:tab/>
      </w:r>
      <w:r>
        <w:fldChar w:fldCharType="begin"/>
      </w:r>
      <w:r>
        <w:instrText xml:space="preserve"> PAGEREF _Toc155617892 \h </w:instrText>
      </w:r>
      <w:r>
        <w:fldChar w:fldCharType="separate"/>
      </w:r>
      <w:r>
        <w:t>13</w:t>
      </w:r>
      <w:r>
        <w:fldChar w:fldCharType="end"/>
      </w:r>
      <w:r>
        <w:fldChar w:fldCharType="end"/>
      </w:r>
    </w:p>
    <w:p>
      <w:pPr>
        <w:pStyle w:val="16"/>
        <w:tabs>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"_Toc155617893" </w:instrText>
      </w:r>
      <w:r>
        <w:fldChar w:fldCharType="separate"/>
      </w:r>
      <w:r>
        <w:rPr>
          <w:rStyle w:val="21"/>
        </w:rPr>
        <w:t>5.支持条件</w:t>
      </w:r>
      <w:r>
        <w:tab/>
      </w:r>
      <w:r>
        <w:fldChar w:fldCharType="begin"/>
      </w:r>
      <w:r>
        <w:instrText xml:space="preserve"> PAGEREF _Toc155617893 \h </w:instrText>
      </w:r>
      <w:r>
        <w:fldChar w:fldCharType="separate"/>
      </w:r>
      <w:r>
        <w:t>14</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"_Toc155617894" </w:instrText>
      </w:r>
      <w:r>
        <w:fldChar w:fldCharType="separate"/>
      </w:r>
      <w:r>
        <w:rPr>
          <w:rStyle w:val="21"/>
        </w:rPr>
        <w:t>5.1学校生均教学经费情况</w:t>
      </w:r>
      <w:r>
        <w:tab/>
      </w:r>
      <w:r>
        <w:fldChar w:fldCharType="begin"/>
      </w:r>
      <w:r>
        <w:instrText xml:space="preserve"> PAGEREF _Toc155617894 \h </w:instrText>
      </w:r>
      <w:r>
        <w:fldChar w:fldCharType="separate"/>
      </w:r>
      <w:r>
        <w:t>14</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"_Toc155617895" </w:instrText>
      </w:r>
      <w:r>
        <w:fldChar w:fldCharType="separate"/>
      </w:r>
      <w:r>
        <w:rPr>
          <w:rStyle w:val="21"/>
        </w:rPr>
        <w:t>5.2支撑专业实验教学校内场所情况</w:t>
      </w:r>
      <w:r>
        <w:tab/>
      </w:r>
      <w:r>
        <w:fldChar w:fldCharType="begin"/>
      </w:r>
      <w:r>
        <w:instrText xml:space="preserve"> PAGEREF _Toc155617895 \h </w:instrText>
      </w:r>
      <w:r>
        <w:fldChar w:fldCharType="separate"/>
      </w:r>
      <w:r>
        <w:t>14</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"_Toc155617896" </w:instrText>
      </w:r>
      <w:r>
        <w:fldChar w:fldCharType="separate"/>
      </w:r>
      <w:r>
        <w:rPr>
          <w:rStyle w:val="21"/>
        </w:rPr>
        <w:t>5.3校外本科教学实习实训基地情况</w:t>
      </w:r>
      <w:r>
        <w:tab/>
      </w:r>
      <w:r>
        <w:fldChar w:fldCharType="begin"/>
      </w:r>
      <w:r>
        <w:instrText xml:space="preserve"> PAGEREF _Toc155617896 \h </w:instrText>
      </w:r>
      <w:r>
        <w:fldChar w:fldCharType="separate"/>
      </w:r>
      <w:r>
        <w:t>14</w:t>
      </w:r>
      <w:r>
        <w:fldChar w:fldCharType="end"/>
      </w:r>
      <w:r>
        <w:fldChar w:fldCharType="end"/>
      </w:r>
    </w:p>
    <w:p>
      <w:pPr>
        <w:pStyle w:val="16"/>
        <w:tabs>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"_Toc155617897" </w:instrText>
      </w:r>
      <w:r>
        <w:fldChar w:fldCharType="separate"/>
      </w:r>
      <w:r>
        <w:rPr>
          <w:rStyle w:val="21"/>
        </w:rPr>
        <w:t>6.质量保障</w:t>
      </w:r>
      <w:r>
        <w:tab/>
      </w:r>
      <w:r>
        <w:fldChar w:fldCharType="begin"/>
      </w:r>
      <w:r>
        <w:instrText xml:space="preserve"> PAGEREF _Toc155617897 \h </w:instrText>
      </w:r>
      <w:r>
        <w:fldChar w:fldCharType="separate"/>
      </w:r>
      <w:r>
        <w:t>15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"_Toc155617898" </w:instrText>
      </w:r>
      <w:r>
        <w:fldChar w:fldCharType="separate"/>
      </w:r>
      <w:r>
        <w:rPr>
          <w:rStyle w:val="21"/>
        </w:rPr>
        <w:t>6.1质量保障体系</w:t>
      </w:r>
      <w:r>
        <w:tab/>
      </w:r>
      <w:r>
        <w:fldChar w:fldCharType="begin"/>
      </w:r>
      <w:r>
        <w:instrText xml:space="preserve"> PAGEREF _Toc155617898 \h </w:instrText>
      </w:r>
      <w:r>
        <w:fldChar w:fldCharType="separate"/>
      </w:r>
      <w:r>
        <w:t>15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"_Toc155617899" </w:instrText>
      </w:r>
      <w:r>
        <w:fldChar w:fldCharType="separate"/>
      </w:r>
      <w:r>
        <w:rPr>
          <w:rStyle w:val="21"/>
        </w:rPr>
        <w:t>6.2质量监控制度及实施办法</w:t>
      </w:r>
      <w:r>
        <w:tab/>
      </w:r>
      <w:r>
        <w:fldChar w:fldCharType="begin"/>
      </w:r>
      <w:r>
        <w:instrText xml:space="preserve"> PAGEREF _Toc155617899 \h </w:instrText>
      </w:r>
      <w:r>
        <w:fldChar w:fldCharType="separate"/>
      </w:r>
      <w:r>
        <w:t>15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"_Toc155617900" </w:instrText>
      </w:r>
      <w:r>
        <w:fldChar w:fldCharType="separate"/>
      </w:r>
      <w:r>
        <w:rPr>
          <w:rStyle w:val="21"/>
        </w:rPr>
        <w:t>6.3质量评估反馈及持续改进</w:t>
      </w:r>
      <w:r>
        <w:tab/>
      </w:r>
      <w:r>
        <w:fldChar w:fldCharType="begin"/>
      </w:r>
      <w:r>
        <w:instrText xml:space="preserve"> PAGEREF _Toc155617900 \h </w:instrText>
      </w:r>
      <w:r>
        <w:fldChar w:fldCharType="separate"/>
      </w:r>
      <w:r>
        <w:t>15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"_Toc155617901" </w:instrText>
      </w:r>
      <w:r>
        <w:fldChar w:fldCharType="separate"/>
      </w:r>
      <w:r>
        <w:rPr>
          <w:rStyle w:val="21"/>
        </w:rPr>
        <w:t>6.4在校生与毕业生满意度</w:t>
      </w:r>
      <w:r>
        <w:tab/>
      </w:r>
      <w:r>
        <w:fldChar w:fldCharType="begin"/>
      </w:r>
      <w:r>
        <w:instrText xml:space="preserve"> PAGEREF _Toc155617901 \h </w:instrText>
      </w:r>
      <w:r>
        <w:fldChar w:fldCharType="separate"/>
      </w:r>
      <w:r>
        <w:t>15</w:t>
      </w:r>
      <w:r>
        <w:fldChar w:fldCharType="end"/>
      </w:r>
      <w:r>
        <w:fldChar w:fldCharType="end"/>
      </w:r>
    </w:p>
    <w:p>
      <w:pPr>
        <w:pStyle w:val="16"/>
        <w:tabs>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"_Toc155617902" </w:instrText>
      </w:r>
      <w:r>
        <w:fldChar w:fldCharType="separate"/>
      </w:r>
      <w:r>
        <w:rPr>
          <w:rStyle w:val="21"/>
        </w:rPr>
        <w:t>7.学生发展</w:t>
      </w:r>
      <w:r>
        <w:tab/>
      </w:r>
      <w:r>
        <w:fldChar w:fldCharType="begin"/>
      </w:r>
      <w:r>
        <w:instrText xml:space="preserve"> PAGEREF _Toc155617902 \h </w:instrText>
      </w:r>
      <w:r>
        <w:fldChar w:fldCharType="separate"/>
      </w:r>
      <w:r>
        <w:t>15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"_Toc155617903" </w:instrText>
      </w:r>
      <w:r>
        <w:fldChar w:fldCharType="separate"/>
      </w:r>
      <w:r>
        <w:rPr>
          <w:rStyle w:val="21"/>
        </w:rPr>
        <w:t>7.1本科在校生数量基本情况</w:t>
      </w:r>
      <w:r>
        <w:tab/>
      </w:r>
      <w:r>
        <w:fldChar w:fldCharType="begin"/>
      </w:r>
      <w:r>
        <w:instrText xml:space="preserve"> PAGEREF _Toc155617903 \h </w:instrText>
      </w:r>
      <w:r>
        <w:fldChar w:fldCharType="separate"/>
      </w:r>
      <w:r>
        <w:t>15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"_Toc155617904" </w:instrText>
      </w:r>
      <w:r>
        <w:fldChar w:fldCharType="separate"/>
      </w:r>
      <w:r>
        <w:rPr>
          <w:rStyle w:val="21"/>
        </w:rPr>
        <w:t>7.2专业招生录取率和新生报到率</w:t>
      </w:r>
      <w:r>
        <w:tab/>
      </w:r>
      <w:r>
        <w:fldChar w:fldCharType="begin"/>
      </w:r>
      <w:r>
        <w:instrText xml:space="preserve"> PAGEREF _Toc155617904 \h </w:instrText>
      </w:r>
      <w:r>
        <w:fldChar w:fldCharType="separate"/>
      </w:r>
      <w:r>
        <w:t>15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"_Toc155617905" </w:instrText>
      </w:r>
      <w:r>
        <w:fldChar w:fldCharType="separate"/>
      </w:r>
      <w:r>
        <w:rPr>
          <w:rStyle w:val="21"/>
        </w:rPr>
        <w:t>7.3毕业生毕业率、学位授予率与去向落实率</w:t>
      </w:r>
      <w:r>
        <w:tab/>
      </w:r>
      <w:r>
        <w:fldChar w:fldCharType="begin"/>
      </w:r>
      <w:r>
        <w:instrText xml:space="preserve"> PAGEREF _Toc155617905 \h </w:instrText>
      </w:r>
      <w:r>
        <w:fldChar w:fldCharType="separate"/>
      </w:r>
      <w:r>
        <w:t>16</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 HYPERLINK \l "_Toc155617906" </w:instrText>
      </w:r>
      <w:r>
        <w:fldChar w:fldCharType="separate"/>
      </w:r>
      <w:r>
        <w:rPr>
          <w:rStyle w:val="21"/>
        </w:rPr>
        <w:t>7.4学风建设情况</w:t>
      </w:r>
      <w:r>
        <w:tab/>
      </w:r>
      <w:r>
        <w:fldChar w:fldCharType="begin"/>
      </w:r>
      <w:r>
        <w:instrText xml:space="preserve"> PAGEREF _Toc155617906 \h </w:instrText>
      </w:r>
      <w:r>
        <w:fldChar w:fldCharType="separate"/>
      </w:r>
      <w:r>
        <w:t>16</w:t>
      </w:r>
      <w:r>
        <w:fldChar w:fldCharType="end"/>
      </w:r>
      <w:r>
        <w:fldChar w:fldCharType="end"/>
      </w:r>
    </w:p>
    <w:p>
      <w:pPr>
        <w:pStyle w:val="16"/>
        <w:tabs>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"_Toc155617907" </w:instrText>
      </w:r>
      <w:r>
        <w:fldChar w:fldCharType="separate"/>
      </w:r>
      <w:r>
        <w:rPr>
          <w:rStyle w:val="21"/>
        </w:rPr>
        <w:t>8.特色发展与案例</w:t>
      </w:r>
      <w:r>
        <w:tab/>
      </w:r>
      <w:r>
        <w:fldChar w:fldCharType="begin"/>
      </w:r>
      <w:r>
        <w:instrText xml:space="preserve"> PAGEREF _Toc155617907 \h </w:instrText>
      </w:r>
      <w:r>
        <w:fldChar w:fldCharType="separate"/>
      </w:r>
      <w:r>
        <w:t>16</w:t>
      </w:r>
      <w:r>
        <w:fldChar w:fldCharType="end"/>
      </w:r>
      <w:r>
        <w:fldChar w:fldCharType="end"/>
      </w:r>
    </w:p>
    <w:p>
      <w:pPr>
        <w:pStyle w:val="16"/>
        <w:tabs>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"_Toc155617908" </w:instrText>
      </w:r>
      <w:r>
        <w:fldChar w:fldCharType="separate"/>
      </w:r>
      <w:r>
        <w:rPr>
          <w:rStyle w:val="21"/>
        </w:rPr>
        <w:t>9.问题与对策</w:t>
      </w:r>
      <w:r>
        <w:tab/>
      </w:r>
      <w:r>
        <w:fldChar w:fldCharType="begin"/>
      </w:r>
      <w:r>
        <w:instrText xml:space="preserve"> PAGEREF _Toc155617908 \h </w:instrText>
      </w:r>
      <w:r>
        <w:fldChar w:fldCharType="separate"/>
      </w:r>
      <w:r>
        <w:t>16</w:t>
      </w:r>
      <w:r>
        <w:fldChar w:fldCharType="end"/>
      </w:r>
      <w:r>
        <w:fldChar w:fldCharType="end"/>
      </w:r>
    </w:p>
    <w:p>
      <w:pPr>
        <w:pStyle w:val="24"/>
        <w:spacing w:before="98" w:beforeAutospacing="0" w:after="0" w:afterAutospacing="0"/>
        <w:ind w:left="597" w:right="231"/>
        <w:jc w:val="center"/>
      </w:pPr>
      <w:r>
        <w:fldChar w:fldCharType="end"/>
      </w:r>
    </w:p>
    <w:p>
      <w:r>
        <w:br w:type="page"/>
      </w:r>
    </w:p>
    <w:p>
      <w:pPr>
        <w:pStyle w:val="3"/>
        <w:jc w:val="center"/>
        <w:rPr>
          <w:rFonts w:ascii="宋体" w:hAnsi="宋体"/>
        </w:rPr>
      </w:pPr>
      <w:bookmarkStart w:id="1" w:name="_Toc128820648"/>
      <w:bookmarkStart w:id="2" w:name="_Toc155617873"/>
      <w:r>
        <w:rPr>
          <w:rFonts w:hint="eastAsia" w:ascii="宋体" w:hAnsi="宋体"/>
        </w:rPr>
        <w:t>说</w:t>
      </w:r>
      <w:r>
        <w:rPr>
          <w:rFonts w:ascii="宋体" w:hAnsi="宋体"/>
        </w:rPr>
        <w:tab/>
      </w:r>
      <w:r>
        <w:rPr>
          <w:rFonts w:ascii="宋体" w:hAnsi="宋体"/>
        </w:rPr>
        <w:t>明</w:t>
      </w:r>
      <w:bookmarkEnd w:id="1"/>
      <w:bookmarkEnd w:id="2"/>
      <w:r>
        <w:rPr>
          <w:rFonts w:ascii="宋体" w:hAnsi="宋体"/>
        </w:rPr>
        <w:t xml:space="preserve"> </w:t>
      </w:r>
    </w:p>
    <w:p>
      <w:pPr>
        <w:widowControl w:val="0"/>
        <w:ind w:firstLine="420"/>
        <w:jc w:val="both"/>
        <w:rPr>
          <w:rFonts w:ascii="仿宋" w:hAnsi="仿宋" w:eastAsia="仿宋" w:cstheme="minorBidi"/>
          <w:kern w:val="2"/>
          <w:sz w:val="28"/>
          <w:szCs w:val="28"/>
        </w:rPr>
      </w:pPr>
      <w:r>
        <w:rPr>
          <w:rFonts w:ascii="仿宋" w:hAnsi="仿宋" w:eastAsia="仿宋" w:cstheme="minorBidi"/>
          <w:kern w:val="2"/>
          <w:sz w:val="28"/>
          <w:szCs w:val="28"/>
        </w:rPr>
        <w:t xml:space="preserve">除特殊说明外，本报告所有的数据资料均来自于高等教育质量监测国家数据平台，涉及专业概况、学生发展、培养目标和毕业要求、课程体系、教师队伍、支持条件和质量保障七个方面的相关信息，供专家组了解情况、分析判断、考查评估使用。 </w:t>
      </w:r>
    </w:p>
    <w:p>
      <w:pPr>
        <w:widowControl w:val="0"/>
        <w:ind w:firstLine="420"/>
        <w:rPr>
          <w:rFonts w:ascii="Times New Roman" w:hAnsi="Times New Roman" w:eastAsia="仿宋" w:cs="Times New Roman"/>
          <w:kern w:val="2"/>
          <w:sz w:val="28"/>
          <w:szCs w:val="28"/>
        </w:rPr>
      </w:pPr>
      <w:r>
        <w:rPr>
          <w:rFonts w:ascii="Times New Roman" w:hAnsi="Times New Roman" w:eastAsia="仿宋" w:cs="Times New Roman"/>
          <w:kern w:val="2"/>
          <w:sz w:val="28"/>
          <w:szCs w:val="28"/>
        </w:rPr>
        <w:t>报告中财务和科研数据的统计时点为</w:t>
      </w:r>
      <w:r>
        <w:rPr>
          <w:rFonts w:hint="eastAsia" w:ascii="Times New Roman" w:hAnsi="Times New Roman" w:eastAsia="仿宋" w:cs="Times New Roman"/>
          <w:kern w:val="2"/>
          <w:sz w:val="28"/>
          <w:szCs w:val="28"/>
          <w:lang w:val="en-US" w:eastAsia="zh-CN"/>
        </w:rPr>
        <w:t>2023</w:t>
      </w:r>
      <w:r>
        <w:rPr>
          <w:rFonts w:ascii="Times New Roman" w:hAnsi="Times New Roman" w:eastAsia="仿宋" w:cs="Times New Roman"/>
          <w:kern w:val="2"/>
          <w:sz w:val="28"/>
          <w:szCs w:val="28"/>
        </w:rPr>
        <w:t>年自然年（即</w:t>
      </w:r>
      <w:r>
        <w:rPr>
          <w:rFonts w:hint="eastAsia" w:ascii="Times New Roman" w:hAnsi="Times New Roman" w:eastAsia="仿宋" w:cs="Times New Roman"/>
          <w:kern w:val="2"/>
          <w:sz w:val="28"/>
          <w:szCs w:val="28"/>
          <w:lang w:val="en-US" w:eastAsia="zh-CN"/>
        </w:rPr>
        <w:t>2023</w:t>
      </w:r>
      <w:r>
        <w:rPr>
          <w:rFonts w:ascii="Times New Roman" w:hAnsi="Times New Roman" w:eastAsia="仿宋" w:cs="Times New Roman"/>
          <w:kern w:val="2"/>
          <w:sz w:val="28"/>
          <w:szCs w:val="28"/>
        </w:rPr>
        <w:t>年1月1日至12月31日），教学等其他数据统计时点为</w:t>
      </w:r>
      <w:r>
        <w:rPr>
          <w:rFonts w:hint="eastAsia" w:ascii="Times New Roman" w:hAnsi="Times New Roman" w:eastAsia="仿宋" w:cs="Times New Roman"/>
          <w:kern w:val="2"/>
          <w:sz w:val="28"/>
          <w:szCs w:val="28"/>
          <w:lang w:val="en-US" w:eastAsia="zh-CN"/>
        </w:rPr>
        <w:t>2022</w:t>
      </w:r>
      <w:r>
        <w:rPr>
          <w:rFonts w:ascii="Times New Roman" w:hAnsi="Times New Roman" w:eastAsia="仿宋" w:cs="Times New Roman"/>
          <w:kern w:val="2"/>
          <w:sz w:val="28"/>
          <w:szCs w:val="28"/>
        </w:rPr>
        <w:t xml:space="preserve">学年（即 </w:t>
      </w:r>
      <w:r>
        <w:rPr>
          <w:rFonts w:hint="eastAsia" w:ascii="Times New Roman" w:hAnsi="Times New Roman" w:eastAsia="仿宋" w:cs="Times New Roman"/>
          <w:kern w:val="2"/>
          <w:sz w:val="28"/>
          <w:szCs w:val="28"/>
          <w:lang w:val="en-US" w:eastAsia="zh-CN"/>
        </w:rPr>
        <w:t>2022</w:t>
      </w:r>
      <w:r>
        <w:rPr>
          <w:rFonts w:ascii="Times New Roman" w:hAnsi="Times New Roman" w:eastAsia="仿宋" w:cs="Times New Roman"/>
          <w:kern w:val="2"/>
          <w:sz w:val="28"/>
          <w:szCs w:val="28"/>
        </w:rPr>
        <w:t xml:space="preserve">年 9 月 1 日至 </w:t>
      </w:r>
      <w:r>
        <w:rPr>
          <w:rFonts w:hint="eastAsia" w:ascii="Times New Roman" w:hAnsi="Times New Roman" w:eastAsia="仿宋" w:cs="Times New Roman"/>
          <w:kern w:val="2"/>
          <w:sz w:val="28"/>
          <w:szCs w:val="28"/>
          <w:lang w:val="en-US" w:eastAsia="zh-CN"/>
        </w:rPr>
        <w:t>2023</w:t>
      </w:r>
      <w:r>
        <w:rPr>
          <w:rFonts w:ascii="Times New Roman" w:hAnsi="Times New Roman" w:eastAsia="仿宋" w:cs="Times New Roman"/>
          <w:kern w:val="2"/>
          <w:sz w:val="28"/>
          <w:szCs w:val="28"/>
        </w:rPr>
        <w:t>年 8 月 31 日）。</w:t>
      </w:r>
    </w:p>
    <w:p>
      <w:pPr>
        <w:widowControl w:val="0"/>
        <w:ind w:firstLine="420"/>
        <w:jc w:val="both"/>
        <w:rPr>
          <w:rFonts w:ascii="仿宋" w:hAnsi="仿宋" w:eastAsia="仿宋" w:cstheme="minorBidi"/>
          <w:kern w:val="2"/>
          <w:sz w:val="28"/>
          <w:szCs w:val="28"/>
        </w:rPr>
      </w:pPr>
    </w:p>
    <w:p>
      <w:pPr>
        <w:rPr>
          <w:rFonts w:ascii="仿宋" w:hAnsi="仿宋" w:eastAsia="仿宋" w:cstheme="minorBidi"/>
          <w:kern w:val="2"/>
          <w:sz w:val="28"/>
          <w:szCs w:val="28"/>
        </w:rPr>
      </w:pPr>
      <w:r>
        <w:rPr>
          <w:rFonts w:ascii="仿宋" w:hAnsi="仿宋" w:eastAsia="仿宋" w:cstheme="minorBidi"/>
          <w:kern w:val="2"/>
          <w:sz w:val="28"/>
          <w:szCs w:val="28"/>
        </w:rPr>
        <w:br w:type="page"/>
      </w:r>
    </w:p>
    <w:p>
      <w:pPr>
        <w:pStyle w:val="3"/>
        <w:pageBreakBefore/>
        <w:spacing w:after="120" w:line="415" w:lineRule="auto"/>
        <w:jc w:val="left"/>
        <w:rPr>
          <w:rFonts w:ascii="宋体" w:hAnsi="宋体"/>
          <w:sz w:val="28"/>
          <w:szCs w:val="28"/>
        </w:rPr>
      </w:pPr>
      <w:bookmarkStart w:id="3" w:name="_Toc155617874"/>
      <w:r>
        <w:rPr>
          <w:rFonts w:hint="eastAsia" w:ascii="宋体" w:hAnsi="宋体"/>
          <w:sz w:val="28"/>
          <w:szCs w:val="28"/>
        </w:rPr>
        <w:t>1</w:t>
      </w:r>
      <w:r>
        <w:rPr>
          <w:rFonts w:ascii="宋体" w:hAnsi="宋体"/>
          <w:sz w:val="28"/>
          <w:szCs w:val="28"/>
        </w:rPr>
        <w:t>.</w:t>
      </w:r>
      <w:r>
        <w:rPr>
          <w:rFonts w:hint="eastAsia" w:ascii="宋体" w:hAnsi="宋体"/>
          <w:sz w:val="28"/>
          <w:szCs w:val="28"/>
        </w:rPr>
        <w:t>专业概况</w:t>
      </w:r>
      <w:bookmarkEnd w:id="3"/>
    </w:p>
    <w:p>
      <w:pPr>
        <w:pStyle w:val="4"/>
        <w:rPr>
          <w:rFonts w:ascii="宋体" w:hAnsi="宋体" w:eastAsia="宋体"/>
          <w:b w:val="0"/>
          <w:bCs w:val="0"/>
          <w:sz w:val="24"/>
          <w:szCs w:val="24"/>
        </w:rPr>
      </w:pPr>
      <w:bookmarkStart w:id="4" w:name="_Toc155617875"/>
      <w:r>
        <w:rPr>
          <w:rFonts w:hint="eastAsia" w:ascii="宋体" w:hAnsi="宋体" w:eastAsia="宋体"/>
          <w:b w:val="0"/>
          <w:bCs w:val="0"/>
          <w:sz w:val="24"/>
          <w:szCs w:val="24"/>
        </w:rPr>
        <w:t>1</w:t>
      </w:r>
      <w:r>
        <w:rPr>
          <w:rFonts w:ascii="宋体" w:hAnsi="宋体" w:eastAsia="宋体"/>
          <w:b w:val="0"/>
          <w:bCs w:val="0"/>
          <w:sz w:val="24"/>
          <w:szCs w:val="24"/>
        </w:rPr>
        <w:t>.1</w:t>
      </w:r>
      <w:r>
        <w:rPr>
          <w:rFonts w:hint="eastAsia" w:ascii="宋体" w:hAnsi="宋体" w:eastAsia="宋体"/>
          <w:b w:val="0"/>
          <w:bCs w:val="0"/>
          <w:sz w:val="24"/>
          <w:szCs w:val="24"/>
        </w:rPr>
        <w:t>专业设置情况</w:t>
      </w:r>
      <w:bookmarkEnd w:id="4"/>
    </w:p>
    <w:p>
      <w:pPr>
        <w:shd w:val="clear" w:color="auto" w:fill="FFFFFF"/>
        <w:snapToGrid w:val="0"/>
        <w:spacing w:line="360" w:lineRule="auto"/>
        <w:ind w:firstLine="480" w:firstLineChars="200"/>
        <w:jc w:val="both"/>
        <w:rPr>
          <w:rFonts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东方管理专业是全国第一个四年制本科专业，于2008年经教育部批准，2009年开始招生。通过1</w:t>
      </w:r>
      <w:r>
        <w:rPr>
          <w:rFonts w:ascii="Times New Roman" w:hAnsi="Times New Roman" w:cs="Times New Roman"/>
          <w:bCs/>
          <w:color w:val="000000" w:themeColor="text1"/>
          <w14:textFill>
            <w14:solidFill>
              <w14:schemeClr w14:val="tx1"/>
            </w14:solidFill>
          </w14:textFill>
        </w:rPr>
        <w:t>5</w:t>
      </w:r>
      <w:r>
        <w:rPr>
          <w:rFonts w:hint="eastAsia" w:ascii="Times New Roman" w:hAnsi="Times New Roman" w:cs="Times New Roman"/>
          <w:bCs/>
          <w:color w:val="000000" w:themeColor="text1"/>
          <w14:textFill>
            <w14:solidFill>
              <w14:schemeClr w14:val="tx1"/>
            </w14:solidFill>
          </w14:textFill>
        </w:rPr>
        <w:t>年的发展，东方管理专业以</w:t>
      </w:r>
      <w:r>
        <w:rPr>
          <w:rFonts w:hint="eastAsia" w:ascii="Times New Roman" w:hAnsi="Times New Roman" w:cs="Times New Roman"/>
          <w:b/>
          <w:bCs/>
          <w:color w:val="000000" w:themeColor="text1"/>
          <w14:textFill>
            <w14:solidFill>
              <w14:schemeClr w14:val="tx1"/>
            </w14:solidFill>
          </w14:textFill>
        </w:rPr>
        <w:t>培养学生视野、素养、知识、能力为目标，积极探索“开放式教学模式”，通过</w:t>
      </w:r>
      <w:r>
        <w:rPr>
          <w:rFonts w:hint="eastAsia" w:ascii="Times New Roman" w:hAnsi="Times New Roman" w:cs="微软雅黑"/>
          <w:b/>
          <w:bCs/>
          <w:color w:val="000000" w:themeColor="text1"/>
          <w:kern w:val="2"/>
          <w14:textFill>
            <w14:solidFill>
              <w14:schemeClr w14:val="tx1"/>
            </w14:solidFill>
          </w14:textFill>
        </w:rPr>
        <w:t>优化培养计划与教学改革、教材，</w:t>
      </w:r>
      <w:r>
        <w:rPr>
          <w:rFonts w:hint="eastAsia" w:ascii="Times New Roman" w:hAnsi="Times New Roman" w:cs="Times New Roman"/>
          <w:b/>
          <w:bCs/>
          <w:color w:val="000000" w:themeColor="text1"/>
          <w14:textFill>
            <w14:solidFill>
              <w14:schemeClr w14:val="tx1"/>
            </w14:solidFill>
          </w14:textFill>
        </w:rPr>
        <w:t>以熟读名著、</w:t>
      </w:r>
      <w:r>
        <w:rPr>
          <w:rFonts w:hint="eastAsia" w:ascii="Times New Roman" w:hAnsi="Times New Roman" w:cs="微软雅黑"/>
          <w:b/>
          <w:bCs/>
          <w:color w:val="000000" w:themeColor="text1"/>
          <w:kern w:val="2"/>
          <w14:textFill>
            <w14:solidFill>
              <w14:schemeClr w14:val="tx1"/>
            </w14:solidFill>
          </w14:textFill>
        </w:rPr>
        <w:t>系列案例教学、中外企业比较实习作为专业人才培养为核心抓手，</w:t>
      </w:r>
      <w:r>
        <w:rPr>
          <w:rFonts w:hint="eastAsia" w:ascii="Times New Roman" w:hAnsi="Times New Roman" w:cs="Times New Roman"/>
          <w:b/>
          <w:bCs/>
          <w:color w:val="000000" w:themeColor="text1"/>
          <w14:textFill>
            <w14:solidFill>
              <w14:schemeClr w14:val="tx1"/>
            </w14:solidFill>
          </w14:textFill>
        </w:rPr>
        <w:t>融入学生终身“学习能力”之中，取得了丰硕的教学成果。</w:t>
      </w:r>
      <w:r>
        <w:rPr>
          <w:rFonts w:hint="eastAsia" w:ascii="Times New Roman" w:hAnsi="Times New Roman" w:cs="Times New Roman"/>
          <w:bCs/>
          <w:color w:val="000000" w:themeColor="text1"/>
          <w14:textFill>
            <w14:solidFill>
              <w14:schemeClr w14:val="tx1"/>
            </w14:solidFill>
          </w14:textFill>
        </w:rPr>
        <w:t>东方管理专业教师</w:t>
      </w:r>
      <w:r>
        <w:rPr>
          <w:rFonts w:hint="eastAsia" w:ascii="Times New Roman" w:hAnsi="Times New Roman" w:cs="微软雅黑"/>
          <w:bCs/>
          <w:color w:val="000000" w:themeColor="text1"/>
          <w:kern w:val="2"/>
          <w14:textFill>
            <w14:solidFill>
              <w14:schemeClr w14:val="tx1"/>
            </w14:solidFill>
          </w14:textFill>
        </w:rPr>
        <w:t>先后荣获上海市教学成果一等奖、二等奖</w:t>
      </w:r>
      <w:r>
        <w:rPr>
          <w:rFonts w:hint="eastAsia" w:ascii="Times New Roman" w:hAnsi="Times New Roman" w:cs="Times New Roman"/>
          <w:bCs/>
          <w:color w:val="000000" w:themeColor="text1"/>
          <w14:textFill>
            <w14:solidFill>
              <w14:schemeClr w14:val="tx1"/>
            </w14:solidFill>
          </w14:textFill>
        </w:rPr>
        <w:t>，赢得了学界、社会、企业、毕业生等方面的高度评价。东方管理专业顺利通过2013年新专业评估、2015年教育部专业合格性评估，为学校顺利通过2016年教育部审核评估做出贡献。2</w:t>
      </w:r>
      <w:r>
        <w:rPr>
          <w:rFonts w:ascii="Times New Roman" w:hAnsi="Times New Roman" w:cs="Times New Roman"/>
          <w:bCs/>
          <w:color w:val="000000" w:themeColor="text1"/>
          <w14:textFill>
            <w14:solidFill>
              <w14:schemeClr w14:val="tx1"/>
            </w14:solidFill>
          </w14:textFill>
        </w:rPr>
        <w:t>023</w:t>
      </w:r>
      <w:r>
        <w:rPr>
          <w:rFonts w:hint="eastAsia" w:ascii="Times New Roman" w:hAnsi="Times New Roman" w:cs="Times New Roman"/>
          <w:bCs/>
          <w:color w:val="000000" w:themeColor="text1"/>
          <w14:textFill>
            <w14:solidFill>
              <w14:schemeClr w14:val="tx1"/>
            </w14:solidFill>
          </w14:textFill>
        </w:rPr>
        <w:t>年专业与学校顺利通过</w:t>
      </w:r>
      <w:r>
        <w:rPr>
          <w:rFonts w:ascii="Times New Roman" w:hAnsi="Times New Roman" w:cs="Times New Roman"/>
          <w:bCs/>
          <w:color w:val="000000" w:themeColor="text1"/>
          <w14:textFill>
            <w14:solidFill>
              <w14:schemeClr w14:val="tx1"/>
            </w14:solidFill>
          </w14:textFill>
        </w:rPr>
        <w:t>2023</w:t>
      </w:r>
      <w:r>
        <w:rPr>
          <w:rFonts w:hint="eastAsia" w:ascii="Times New Roman" w:hAnsi="Times New Roman" w:cs="Times New Roman"/>
          <w:bCs/>
          <w:color w:val="000000" w:themeColor="text1"/>
          <w14:textFill>
            <w14:solidFill>
              <w14:schemeClr w14:val="tx1"/>
            </w14:solidFill>
          </w14:textFill>
        </w:rPr>
        <w:t>年教育部审核评估。</w:t>
      </w:r>
    </w:p>
    <w:p>
      <w:pPr>
        <w:shd w:val="clear" w:color="auto" w:fill="FFFFFF"/>
        <w:snapToGrid w:val="0"/>
        <w:spacing w:line="360" w:lineRule="auto"/>
        <w:ind w:firstLine="482" w:firstLineChars="200"/>
        <w:jc w:val="both"/>
        <w:rPr>
          <w:rFonts w:cs="微软雅黑"/>
          <w:b/>
          <w:bCs/>
          <w:kern w:val="2"/>
        </w:rPr>
      </w:pPr>
      <w:r>
        <w:rPr>
          <w:rFonts w:hint="eastAsia" w:ascii="Times New Roman" w:hAnsi="Times New Roman" w:cs="Times New Roman"/>
          <w:b/>
          <w:bCs/>
        </w:rPr>
        <w:t>东方管理专业核心课程《东方管理学概论》2016年荣获上海市精品课程荣誉，该课程成为中国大学MOOC课程，主讲教师孟勇教授获得2017宝钢优秀教师奖。2018年，孟勇老师获上海市教学成果一等奖，作为主要负责人参与的教育部新工科教改项目顺利结项。</w:t>
      </w:r>
      <w:r>
        <w:rPr>
          <w:rFonts w:hint="eastAsia" w:ascii="Times New Roman" w:hAnsi="Times New Roman" w:cs="Times New Roman"/>
        </w:rPr>
        <w:t>2</w:t>
      </w:r>
      <w:r>
        <w:rPr>
          <w:rFonts w:ascii="Times New Roman" w:hAnsi="Times New Roman" w:cs="Times New Roman"/>
        </w:rPr>
        <w:t>019</w:t>
      </w:r>
      <w:r>
        <w:rPr>
          <w:rFonts w:hint="eastAsia" w:ascii="Times New Roman" w:hAnsi="Times New Roman" w:cs="Times New Roman"/>
        </w:rPr>
        <w:t>年胡茉老师</w:t>
      </w:r>
      <w:r>
        <w:rPr>
          <w:rFonts w:ascii="Times New Roman" w:hAnsi="Times New Roman" w:cs="Times New Roman"/>
          <w:bCs/>
        </w:rPr>
        <w:t>《企业文化》获批校级金课建设项目</w:t>
      </w:r>
      <w:r>
        <w:rPr>
          <w:rFonts w:hint="eastAsia" w:ascii="Times New Roman" w:hAnsi="Times New Roman" w:cs="Times New Roman"/>
          <w:bCs/>
        </w:rPr>
        <w:t>。2021年孟勇老师《东方管理学概论》课程获上海市高校教师教学创新大赛教授组三等奖和优秀基层教学组织奖。胡茉老师获批上海工程技术大学高水平课程思政《企业文化》课程建设项目。</w:t>
      </w:r>
      <w:r>
        <w:rPr>
          <w:rFonts w:hint="eastAsia" w:ascii="Times New Roman" w:hAnsi="Times New Roman" w:cs="Times New Roman"/>
        </w:rPr>
        <w:t>团队获得上海工程技术大学教学成果二等奖《文化自信背景下东方管理与现代工商管理课程思政的探索与实践》。2</w:t>
      </w:r>
      <w:r>
        <w:rPr>
          <w:rFonts w:ascii="Times New Roman" w:hAnsi="Times New Roman" w:cs="Times New Roman"/>
        </w:rPr>
        <w:t>022</w:t>
      </w:r>
      <w:r>
        <w:rPr>
          <w:rFonts w:hint="eastAsia" w:ascii="Times New Roman" w:hAnsi="Times New Roman" w:cs="Times New Roman"/>
        </w:rPr>
        <w:t>年孟勇老师为主要成员以《“</w:t>
      </w:r>
      <w:r>
        <w:rPr>
          <w:rFonts w:hint="eastAsia" w:ascii="Times New Roman" w:hAnsi="Times New Roman" w:cs="Times New Roman"/>
          <w:color w:val="000000" w:themeColor="text1"/>
          <w14:textFill>
            <w14:solidFill>
              <w14:schemeClr w14:val="tx1"/>
            </w14:solidFill>
          </w14:textFill>
        </w:rPr>
        <w:t>三协同、四对接”，高素质复合型信管专业人才培养的探索实践》获上海市优秀教学成果二等奖。胡茉老师获批校级产教融合教材建设项目《企业文化：直面数智时代的挑战》。</w:t>
      </w:r>
      <w:r>
        <w:rPr>
          <w:rFonts w:hint="eastAsia" w:ascii="Times New Roman" w:hAnsi="Times New Roman" w:cs="Times New Roman"/>
          <w:b/>
          <w:bCs/>
          <w:color w:val="000000" w:themeColor="text1"/>
          <w14:textFill>
            <w14:solidFill>
              <w14:schemeClr w14:val="tx1"/>
            </w14:solidFill>
          </w14:textFill>
        </w:rPr>
        <w:t>2</w:t>
      </w:r>
      <w:r>
        <w:rPr>
          <w:rFonts w:ascii="Times New Roman" w:hAnsi="Times New Roman" w:cs="Times New Roman"/>
          <w:b/>
          <w:bCs/>
          <w:color w:val="000000" w:themeColor="text1"/>
          <w14:textFill>
            <w14:solidFill>
              <w14:schemeClr w14:val="tx1"/>
            </w14:solidFill>
          </w14:textFill>
        </w:rPr>
        <w:t>023</w:t>
      </w:r>
      <w:r>
        <w:rPr>
          <w:rFonts w:hint="eastAsia" w:ascii="Times New Roman" w:hAnsi="Times New Roman" w:cs="Times New Roman"/>
          <w:b/>
          <w:bCs/>
          <w:color w:val="000000" w:themeColor="text1"/>
          <w14:textFill>
            <w14:solidFill>
              <w14:schemeClr w14:val="tx1"/>
            </w14:solidFill>
          </w14:textFill>
        </w:rPr>
        <w:t>年孟勇老师提案获全国政协批示录用。胡茉老师获得第十五届全国商科教育实践教学大赛一等奖。东方管理专业</w:t>
      </w:r>
      <w:r>
        <w:rPr>
          <w:rFonts w:hint="eastAsia" w:cs="微软雅黑"/>
          <w:b/>
          <w:bCs/>
          <w:color w:val="000000" w:themeColor="text1"/>
          <w:kern w:val="2"/>
          <w14:textFill>
            <w14:solidFill>
              <w14:schemeClr w14:val="tx1"/>
            </w14:solidFill>
          </w14:textFill>
        </w:rPr>
        <w:t>设计了</w:t>
      </w:r>
      <w:r>
        <w:rPr>
          <w:rFonts w:hint="eastAsia" w:cs="Times New Roman"/>
          <w:b/>
          <w:bCs/>
          <w:color w:val="000000" w:themeColor="text1"/>
          <w:kern w:val="2"/>
          <w14:textFill>
            <w14:solidFill>
              <w14:schemeClr w14:val="tx1"/>
            </w14:solidFill>
          </w14:textFill>
        </w:rPr>
        <w:t>“</w:t>
      </w:r>
      <w:r>
        <w:rPr>
          <w:rFonts w:hint="eastAsia" w:cs="微软雅黑"/>
          <w:b/>
          <w:bCs/>
          <w:color w:val="000000" w:themeColor="text1"/>
          <w:kern w:val="2"/>
          <w14:textFill>
            <w14:solidFill>
              <w14:schemeClr w14:val="tx1"/>
            </w14:solidFill>
          </w14:textFill>
        </w:rPr>
        <w:t>厚基础、重经典、多案例、双教学</w:t>
      </w:r>
      <w:r>
        <w:rPr>
          <w:rFonts w:hint="eastAsia" w:cs="Times New Roman"/>
          <w:b/>
          <w:bCs/>
          <w:color w:val="000000" w:themeColor="text1"/>
          <w:kern w:val="2"/>
          <w14:textFill>
            <w14:solidFill>
              <w14:schemeClr w14:val="tx1"/>
            </w14:solidFill>
          </w14:textFill>
        </w:rPr>
        <w:t>”</w:t>
      </w:r>
      <w:r>
        <w:rPr>
          <w:rFonts w:hint="eastAsia" w:cs="微软雅黑"/>
          <w:b/>
          <w:bCs/>
          <w:color w:val="000000" w:themeColor="text1"/>
          <w:kern w:val="2"/>
          <w14:textFill>
            <w14:solidFill>
              <w14:schemeClr w14:val="tx1"/>
            </w14:solidFill>
          </w14:textFill>
        </w:rPr>
        <w:t>的培养方案和富有东方管理特色的完整课程体系，并在完整课程体系的保障下，建立</w:t>
      </w:r>
      <w:r>
        <w:rPr>
          <w:rFonts w:hint="eastAsia" w:cs="微软雅黑"/>
          <w:b/>
          <w:bCs/>
          <w:kern w:val="2"/>
        </w:rPr>
        <w:t>了一套完善开放性的专业人才培养模式。</w:t>
      </w:r>
    </w:p>
    <w:p>
      <w:pPr>
        <w:shd w:val="clear" w:color="auto" w:fill="FFFFFF"/>
        <w:snapToGrid w:val="0"/>
        <w:spacing w:line="360" w:lineRule="auto"/>
        <w:ind w:firstLine="480" w:firstLineChars="200"/>
        <w:jc w:val="both"/>
        <w:rPr>
          <w:rFonts w:ascii="Times New Roman" w:hAnsi="Times New Roman" w:cs="微软雅黑"/>
          <w:bCs/>
          <w:color w:val="FF0000"/>
          <w:kern w:val="2"/>
        </w:rPr>
      </w:pPr>
      <w:r>
        <w:rPr>
          <w:rFonts w:hint="eastAsia" w:ascii="Times New Roman" w:hAnsi="Times New Roman" w:cs="Times New Roman"/>
          <w:bCs/>
        </w:rPr>
        <w:t>东方管理专业每年通过主办和协办</w:t>
      </w:r>
      <w:r>
        <w:rPr>
          <w:rFonts w:hint="eastAsia" w:ascii="Times New Roman" w:hAnsi="Times New Roman" w:cs="微软雅黑"/>
          <w:bCs/>
          <w:kern w:val="2"/>
        </w:rPr>
        <w:t>世界管理论坛暨东方管理论坛，为学生拓展东方管理学前沿理论研究视野。</w:t>
      </w:r>
      <w:r>
        <w:rPr>
          <w:rFonts w:hint="eastAsia" w:ascii="Times New Roman" w:hAnsi="Times New Roman" w:cs="Times New Roman"/>
          <w:bCs/>
        </w:rPr>
        <w:t>同时，</w:t>
      </w:r>
      <w:r>
        <w:rPr>
          <w:rFonts w:hint="eastAsia" w:ascii="Times New Roman" w:hAnsi="Times New Roman" w:cs="微软雅黑"/>
          <w:bCs/>
          <w:kern w:val="2"/>
        </w:rPr>
        <w:t>通过由全体专业学生主办的</w:t>
      </w:r>
      <w:r>
        <w:rPr>
          <w:rFonts w:hint="eastAsia" w:ascii="Times New Roman" w:hAnsi="Times New Roman" w:cs="微软雅黑"/>
          <w:b/>
          <w:kern w:val="2"/>
        </w:rPr>
        <w:t>《东方管理大学生论坛》（</w:t>
      </w:r>
      <w:r>
        <w:rPr>
          <w:rFonts w:hint="eastAsia" w:ascii="Times New Roman" w:hAnsi="Times New Roman" w:cs="微软雅黑"/>
          <w:b/>
          <w:color w:val="000000" w:themeColor="text1"/>
          <w:kern w:val="2"/>
          <w14:textFill>
            <w14:solidFill>
              <w14:schemeClr w14:val="tx1"/>
            </w14:solidFill>
          </w14:textFill>
        </w:rPr>
        <w:t>已经举办十二届），</w:t>
      </w:r>
      <w:r>
        <w:rPr>
          <w:rFonts w:hint="eastAsia" w:ascii="Times New Roman" w:hAnsi="Times New Roman" w:cs="微软雅黑"/>
          <w:bCs/>
          <w:color w:val="000000" w:themeColor="text1"/>
          <w:kern w:val="2"/>
          <w14:textFill>
            <w14:solidFill>
              <w14:schemeClr w14:val="tx1"/>
            </w14:solidFill>
          </w14:textFill>
        </w:rPr>
        <w:t>鼓励学生参与管理实践，提供知行合一的锻炼场所。</w:t>
      </w:r>
      <w:r>
        <w:rPr>
          <w:rFonts w:ascii="Times New Roman" w:hAnsi="Times New Roman" w:cs="微软雅黑"/>
          <w:bCs/>
          <w:color w:val="000000" w:themeColor="text1"/>
          <w:kern w:val="2"/>
          <w14:textFill>
            <w14:solidFill>
              <w14:schemeClr w14:val="tx1"/>
            </w14:solidFill>
          </w14:textFill>
        </w:rPr>
        <w:t>2023年</w:t>
      </w:r>
      <w:r>
        <w:rPr>
          <w:rFonts w:hint="eastAsia" w:ascii="Times New Roman" w:hAnsi="Times New Roman" w:cs="微软雅黑"/>
          <w:bCs/>
          <w:color w:val="000000" w:themeColor="text1"/>
          <w:kern w:val="2"/>
          <w14:textFill>
            <w14:solidFill>
              <w14:schemeClr w14:val="tx1"/>
            </w14:solidFill>
          </w14:textFill>
        </w:rPr>
        <w:t>4月12日第十一届东方管理大学生论坛在我校举行。2023年11月25日，第二十六届世界管理论坛暨东方管理论坛</w:t>
      </w:r>
      <w:r>
        <w:rPr>
          <w:rFonts w:ascii="Times New Roman" w:hAnsi="Times New Roman" w:cs="微软雅黑"/>
          <w:bCs/>
          <w:color w:val="000000" w:themeColor="text1"/>
          <w:kern w:val="2"/>
          <w14:textFill>
            <w14:solidFill>
              <w14:schemeClr w14:val="tx1"/>
            </w14:solidFill>
          </w14:textFill>
        </w:rPr>
        <w:t>《东方管理与中国式现代化》</w:t>
      </w:r>
      <w:r>
        <w:rPr>
          <w:rFonts w:hint="eastAsia" w:ascii="Times New Roman" w:hAnsi="Times New Roman" w:cs="微软雅黑"/>
          <w:bCs/>
          <w:color w:val="000000" w:themeColor="text1"/>
          <w:kern w:val="2"/>
          <w14:textFill>
            <w14:solidFill>
              <w14:schemeClr w14:val="tx1"/>
            </w14:solidFill>
          </w14:textFill>
        </w:rPr>
        <w:t>、“第一届方太杯”暨第十二届东方管理大学生论坛</w:t>
      </w:r>
      <w:r>
        <w:rPr>
          <w:rFonts w:ascii="Times New Roman" w:hAnsi="Times New Roman" w:cs="微软雅黑"/>
          <w:bCs/>
          <w:color w:val="000000" w:themeColor="text1"/>
          <w:kern w:val="2"/>
          <w14:textFill>
            <w14:solidFill>
              <w14:schemeClr w14:val="tx1"/>
            </w14:solidFill>
          </w14:textFill>
        </w:rPr>
        <w:t>在同济大学成功举办，</w:t>
      </w:r>
      <w:r>
        <w:rPr>
          <w:rFonts w:hint="eastAsia" w:ascii="Times New Roman" w:hAnsi="Times New Roman" w:cs="微软雅黑"/>
          <w:bCs/>
          <w:color w:val="000000" w:themeColor="text1"/>
          <w:kern w:val="2"/>
          <w14:textFill>
            <w14:solidFill>
              <w14:schemeClr w14:val="tx1"/>
            </w14:solidFill>
          </w14:textFill>
        </w:rPr>
        <w:t>这也是大学生论坛首次获得知名企业赞助。</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46" w:hRule="atLeast"/>
          <w:jc w:val="center"/>
        </w:trPr>
        <w:tc>
          <w:tcPr>
            <w:tcW w:w="7866" w:type="dxa"/>
          </w:tcPr>
          <w:p>
            <w:pPr>
              <w:snapToGrid w:val="0"/>
              <w:spacing w:line="360" w:lineRule="auto"/>
              <w:jc w:val="center"/>
            </w:pPr>
            <w:r>
              <w:drawing>
                <wp:inline distT="0" distB="0" distL="114300" distR="114300">
                  <wp:extent cx="4572000" cy="2136140"/>
                  <wp:effectExtent l="0" t="0" r="0" b="2286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7"/>
                          <a:stretch>
                            <a:fillRect/>
                          </a:stretch>
                        </pic:blipFill>
                        <pic:spPr>
                          <a:xfrm>
                            <a:off x="0" y="0"/>
                            <a:ext cx="4572000" cy="21361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7866" w:type="dxa"/>
          </w:tcPr>
          <w:p>
            <w:pPr>
              <w:snapToGrid w:val="0"/>
              <w:spacing w:line="360" w:lineRule="auto"/>
              <w:jc w:val="center"/>
            </w:pPr>
            <w:r>
              <w:drawing>
                <wp:inline distT="0" distB="0" distL="114300" distR="114300">
                  <wp:extent cx="4656455" cy="3103245"/>
                  <wp:effectExtent l="0" t="0" r="17145" b="209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656455" cy="3103245"/>
                          </a:xfrm>
                          <a:prstGeom prst="rect">
                            <a:avLst/>
                          </a:prstGeom>
                          <a:noFill/>
                          <a:ln>
                            <a:noFill/>
                          </a:ln>
                        </pic:spPr>
                      </pic:pic>
                    </a:graphicData>
                  </a:graphic>
                </wp:inline>
              </w:drawing>
            </w:r>
          </w:p>
        </w:tc>
      </w:tr>
    </w:tbl>
    <w:p>
      <w:pPr>
        <w:snapToGrid w:val="0"/>
        <w:spacing w:line="360" w:lineRule="auto"/>
        <w:jc w:val="center"/>
        <w:rPr>
          <w:rFonts w:ascii="Times New Roman" w:hAnsi="Times New Roman" w:cs="微软雅黑"/>
          <w:b/>
          <w:kern w:val="2"/>
          <w:szCs w:val="32"/>
        </w:rPr>
      </w:pPr>
      <w:r>
        <w:rPr>
          <w:rFonts w:hint="eastAsia" w:ascii="Times New Roman" w:hAnsi="Times New Roman" w:cs="微软雅黑"/>
          <w:bCs/>
          <w:kern w:val="2"/>
          <w:szCs w:val="21"/>
        </w:rPr>
        <w:t>图1</w:t>
      </w:r>
      <w:r>
        <w:rPr>
          <w:rFonts w:ascii="Times New Roman" w:hAnsi="Times New Roman" w:cs="微软雅黑"/>
          <w:bCs/>
          <w:kern w:val="2"/>
          <w:szCs w:val="21"/>
        </w:rPr>
        <w:t>-1</w:t>
      </w:r>
      <w:r>
        <w:rPr>
          <w:rFonts w:hint="eastAsia" w:ascii="Times New Roman" w:hAnsi="Times New Roman" w:cs="微软雅黑"/>
          <w:bCs/>
          <w:kern w:val="2"/>
          <w:szCs w:val="21"/>
        </w:rPr>
        <w:t>：第十一届、第一届“方太杯”暨第十二届东方管理大学生论坛</w:t>
      </w:r>
    </w:p>
    <w:p>
      <w:pPr>
        <w:snapToGrid w:val="0"/>
        <w:spacing w:line="360" w:lineRule="auto"/>
        <w:ind w:firstLine="482" w:firstLineChars="200"/>
        <w:jc w:val="both"/>
      </w:pPr>
      <w:r>
        <w:rPr>
          <w:rFonts w:hint="eastAsia" w:ascii="Times New Roman" w:hAnsi="Times New Roman" w:cs="微软雅黑"/>
          <w:b/>
          <w:color w:val="000000" w:themeColor="text1"/>
          <w:kern w:val="2"/>
          <w14:textFill>
            <w14:solidFill>
              <w14:schemeClr w14:val="tx1"/>
            </w14:solidFill>
          </w14:textFill>
        </w:rPr>
        <w:t>在东方管理专业近</w:t>
      </w:r>
      <w:r>
        <w:rPr>
          <w:rFonts w:ascii="Times New Roman" w:hAnsi="Times New Roman" w:cs="微软雅黑"/>
          <w:b/>
          <w:color w:val="000000" w:themeColor="text1"/>
          <w:kern w:val="2"/>
          <w14:textFill>
            <w14:solidFill>
              <w14:schemeClr w14:val="tx1"/>
            </w14:solidFill>
          </w14:textFill>
        </w:rPr>
        <w:t>8</w:t>
      </w:r>
      <w:r>
        <w:rPr>
          <w:rFonts w:hint="eastAsia" w:ascii="Times New Roman" w:hAnsi="Times New Roman" w:cs="微软雅黑"/>
          <w:b/>
          <w:color w:val="000000" w:themeColor="text1"/>
          <w:kern w:val="2"/>
          <w14:textFill>
            <w14:solidFill>
              <w14:schemeClr w14:val="tx1"/>
            </w14:solidFill>
          </w14:textFill>
        </w:rPr>
        <w:t>届的毕业生中，涌现了</w:t>
      </w:r>
      <w:r>
        <w:rPr>
          <w:rFonts w:ascii="Times New Roman" w:hAnsi="Times New Roman" w:cs="微软雅黑"/>
          <w:b/>
          <w:color w:val="000000" w:themeColor="text1"/>
          <w:kern w:val="2"/>
          <w14:textFill>
            <w14:solidFill>
              <w14:schemeClr w14:val="tx1"/>
            </w14:solidFill>
          </w14:textFill>
        </w:rPr>
        <w:t>4</w:t>
      </w:r>
      <w:r>
        <w:rPr>
          <w:rFonts w:hint="eastAsia" w:ascii="Times New Roman" w:hAnsi="Times New Roman" w:cs="微软雅黑"/>
          <w:b/>
          <w:color w:val="000000" w:themeColor="text1"/>
          <w:kern w:val="2"/>
          <w14:textFill>
            <w14:solidFill>
              <w14:schemeClr w14:val="tx1"/>
            </w14:solidFill>
          </w14:textFill>
        </w:rPr>
        <w:t>位在学业上获得国家奖学金、1</w:t>
      </w:r>
      <w:r>
        <w:rPr>
          <w:rFonts w:ascii="Times New Roman" w:hAnsi="Times New Roman" w:cs="微软雅黑"/>
          <w:b/>
          <w:color w:val="000000" w:themeColor="text1"/>
          <w:kern w:val="2"/>
          <w14:textFill>
            <w14:solidFill>
              <w14:schemeClr w14:val="tx1"/>
            </w14:solidFill>
          </w14:textFill>
        </w:rPr>
        <w:t>5</w:t>
      </w:r>
      <w:r>
        <w:rPr>
          <w:rFonts w:hint="eastAsia" w:ascii="Times New Roman" w:hAnsi="Times New Roman" w:cs="微软雅黑"/>
          <w:b/>
          <w:color w:val="000000" w:themeColor="text1"/>
          <w:kern w:val="2"/>
          <w14:textFill>
            <w14:solidFill>
              <w14:schemeClr w14:val="tx1"/>
            </w14:solidFill>
          </w14:textFill>
        </w:rPr>
        <w:t>位考上国内外名校研究生以及数位获得上海市优秀奖的人才。</w:t>
      </w:r>
      <w:r>
        <w:rPr>
          <w:rFonts w:hint="eastAsia" w:ascii="Times New Roman" w:hAnsi="Times New Roman" w:cs="微软雅黑"/>
          <w:color w:val="000000" w:themeColor="text1"/>
          <w:kern w:val="2"/>
          <w14:textFill>
            <w14:solidFill>
              <w14:schemeClr w14:val="tx1"/>
            </w14:solidFill>
          </w14:textFill>
        </w:rPr>
        <w:t>东方管理专业通过学生在四年学习中学会以</w:t>
      </w:r>
      <w:r>
        <w:rPr>
          <w:rFonts w:hint="eastAsia" w:ascii="Times New Roman" w:hAnsi="Times New Roman" w:cs="微软雅黑"/>
          <w:kern w:val="2"/>
        </w:rPr>
        <w:t>更大的视野发现自己的潜能、以更长久的方式挖掘自己的潜能，为学生走向未来提供坚实的舞台。</w:t>
      </w:r>
    </w:p>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6"/>
        <w:gridCol w:w="4424"/>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5780" w:type="dxa"/>
            <w:gridSpan w:val="2"/>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ind w:left="2659" w:right="2650"/>
              <w:jc w:val="center"/>
              <w:rPr>
                <w:sz w:val="21"/>
                <w:szCs w:val="21"/>
              </w:rPr>
            </w:pPr>
            <w:r>
              <w:rPr>
                <w:rFonts w:hint="eastAsia"/>
                <w:sz w:val="21"/>
                <w:szCs w:val="21"/>
              </w:rPr>
              <w:t>项目</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jc w:val="center"/>
              <w:rPr>
                <w:sz w:val="21"/>
                <w:szCs w:val="21"/>
              </w:rPr>
            </w:pPr>
            <w:r>
              <w:rPr>
                <w:rFonts w:hint="eastAsia"/>
                <w:sz w:val="21"/>
                <w:szCs w:val="21"/>
              </w:rPr>
              <w:t>学校情况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restart"/>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pPr>
            <w:r>
              <w:rPr>
                <w:rFonts w:hint="eastAsia"/>
                <w:sz w:val="21"/>
                <w:szCs w:val="22"/>
              </w:rPr>
              <w:t>专业基本信息</w:t>
            </w: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专业代码</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120101</w:t>
            </w:r>
            <w:bookmarkStart w:id="5" w:name="OLE_LINK2"/>
            <w:bookmarkEnd w:id="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专业名称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管理科学</w:t>
            </w:r>
            <w:bookmarkStart w:id="6" w:name="OLE_LINK3"/>
            <w:bookmarkEnd w:id="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所属单位名称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管理学院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专业设置年份</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2009</w:t>
            </w:r>
            <w:bookmarkStart w:id="7" w:name="OLE_LINK4"/>
            <w:bookmarkEnd w:id="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bookmarkStart w:id="8" w:name="OLE_LINK5"/>
            <w:r>
              <w:rPr>
                <w:rFonts w:hint="eastAsia"/>
                <w:sz w:val="21"/>
                <w:szCs w:val="22"/>
              </w:rPr>
              <w:t>优势专业类型</w:t>
            </w:r>
            <w:bookmarkEnd w:id="8"/>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学制</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bookmarkStart w:id="9" w:name="OLE_LINK6"/>
            <w:r>
              <w:rPr>
                <w:rFonts w:hint="eastAsia"/>
                <w:sz w:val="21"/>
                <w:szCs w:val="22"/>
              </w:rPr>
              <w:t>允许修业年限</w:t>
            </w:r>
            <w:bookmarkEnd w:id="9"/>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bookmarkStart w:id="10" w:name="OLE_LINK7"/>
            <w:r>
              <w:rPr>
                <w:rFonts w:hint="eastAsia"/>
                <w:sz w:val="21"/>
                <w:szCs w:val="22"/>
              </w:rPr>
              <w:t>授予学位门类</w:t>
            </w:r>
            <w:bookmarkEnd w:id="10"/>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在校本科学生数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当年计划招生数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专业教师数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专业课授课校内教师数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外聘授课教师数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应届本科毕业生去向落实率</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96.55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学校生师比</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17.95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专业教师与本科生之比</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10.64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专业课授课教师（本学院）与本科生之比</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restart"/>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pPr>
            <w:r>
              <w:rPr>
                <w:rFonts w:hint="eastAsia"/>
                <w:sz w:val="21"/>
                <w:szCs w:val="22"/>
              </w:rPr>
              <w:t>专业负责人</w:t>
            </w: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孟勇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是否外聘</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专业技术职称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最高学位</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博士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学历</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博士研究生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是否双师型</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是否行业背景</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导师类别</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校内指导博士生数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校内指导硕士生数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承担专业教学课程（门）</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rFonts w:ascii="Segoe UI" w:hAnsi="Segoe UI" w:cs="Segoe UI"/>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sz w:val="21"/>
                <w:szCs w:val="22"/>
              </w:rPr>
            </w:pPr>
            <w:r>
              <w:rPr>
                <w:rFonts w:hint="eastAsia"/>
                <w:sz w:val="21"/>
                <w:szCs w:val="22"/>
              </w:rPr>
              <w:t>其中：专业核心课程（门）</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sz w:val="21"/>
                <w:szCs w:val="22"/>
              </w:rPr>
            </w:pPr>
            <w:r>
              <w:rPr>
                <w:rFonts w:ascii="Segoe UI" w:hAnsi="Segoe UI" w:cs="Segoe UI"/>
                <w:sz w:val="21"/>
                <w:szCs w:val="21"/>
              </w:rPr>
              <w:t>3</w:t>
            </w:r>
          </w:p>
        </w:tc>
      </w:tr>
    </w:tbl>
    <w:p>
      <w:bookmarkStart w:id="11" w:name="_TOC_250064"/>
      <w:bookmarkEnd w:id="11"/>
      <w:bookmarkStart w:id="12" w:name="_TOC_250067"/>
      <w:bookmarkEnd w:id="12"/>
    </w:p>
    <w:p>
      <w:pPr>
        <w:pStyle w:val="4"/>
        <w:rPr>
          <w:rFonts w:ascii="宋体" w:hAnsi="宋体" w:eastAsia="宋体"/>
          <w:b w:val="0"/>
          <w:bCs w:val="0"/>
          <w:sz w:val="24"/>
          <w:szCs w:val="24"/>
        </w:rPr>
      </w:pPr>
      <w:bookmarkStart w:id="13" w:name="_Toc155617876"/>
      <w:r>
        <w:rPr>
          <w:rFonts w:hint="eastAsia" w:ascii="宋体" w:hAnsi="宋体" w:eastAsia="宋体"/>
          <w:b w:val="0"/>
          <w:bCs w:val="0"/>
          <w:sz w:val="24"/>
          <w:szCs w:val="24"/>
        </w:rPr>
        <w:t>1</w:t>
      </w:r>
      <w:r>
        <w:rPr>
          <w:rFonts w:ascii="宋体" w:hAnsi="宋体" w:eastAsia="宋体"/>
          <w:b w:val="0"/>
          <w:bCs w:val="0"/>
          <w:sz w:val="24"/>
          <w:szCs w:val="24"/>
        </w:rPr>
        <w:t>.2</w:t>
      </w:r>
      <w:r>
        <w:rPr>
          <w:rFonts w:hint="eastAsia" w:ascii="宋体" w:hAnsi="宋体" w:eastAsia="宋体"/>
          <w:b w:val="0"/>
          <w:bCs w:val="0"/>
          <w:sz w:val="24"/>
          <w:szCs w:val="24"/>
        </w:rPr>
        <w:t>人才培养目标</w:t>
      </w:r>
      <w:bookmarkEnd w:id="13"/>
    </w:p>
    <w:p>
      <w:pPr>
        <w:snapToGrid w:val="0"/>
        <w:spacing w:line="360" w:lineRule="auto"/>
        <w:ind w:firstLine="480" w:firstLineChars="200"/>
        <w:jc w:val="both"/>
        <w:rPr>
          <w:rFonts w:cs="Times New Roman"/>
          <w:color w:val="000000"/>
        </w:rPr>
      </w:pPr>
      <w:r>
        <w:rPr>
          <w:rFonts w:hint="eastAsia" w:cs="Times New Roman"/>
          <w:color w:val="000000"/>
        </w:rPr>
        <w:t>管理科学（东方管理）专业秉承人本思想与现代化应用型特色大学的人才培养理念，围绕学院成为国内一流应用型特色管理学院的远景，坚持立德树人、博学思辨、知行合一、践行卓越的价值观，构建了“德、智、体、美、劳”人才培养的教育体系。本专业为大力弘扬以爱国主义为核心的民族精神和以改革创新为核心的时代精神，运用中华优秀传统文化中的思想精华和时代价值，为提升学生综合素质及终身学习能力，培养既了解中国国情又具备国际视野，又掌握现代企业管理系统分析方法又具备解决管理实际问题的基本技能的高素质复合型管理人才。</w:t>
      </w:r>
    </w:p>
    <w:p>
      <w:pPr>
        <w:snapToGrid w:val="0"/>
        <w:spacing w:line="360" w:lineRule="auto"/>
        <w:ind w:firstLine="480" w:firstLineChars="200"/>
        <w:jc w:val="both"/>
      </w:pPr>
      <w:r>
        <w:rPr>
          <w:rFonts w:hint="eastAsia" w:cs="Times New Roman"/>
          <w:color w:val="000000"/>
        </w:rPr>
        <w:t>专业通过强化学生学习东西方管理基本原理、东西方文化以及企业管理理论，培养学生具备以多元化的国际视角，运用东方管理原理，结合现代中国企业实践，发现问题和解决问题的能力。本专业毕业学生具有熟知东西方文化差异以及较强职业意识，能胜任不同文化背景下的各类管理工作。</w:t>
      </w:r>
    </w:p>
    <w:p>
      <w:pPr>
        <w:pStyle w:val="3"/>
        <w:spacing w:after="120" w:line="415" w:lineRule="auto"/>
        <w:jc w:val="left"/>
        <w:rPr>
          <w:rFonts w:ascii="宋体" w:hAnsi="宋体"/>
          <w:sz w:val="28"/>
          <w:szCs w:val="28"/>
        </w:rPr>
      </w:pPr>
      <w:bookmarkStart w:id="14" w:name="_Toc155617877"/>
      <w:r>
        <w:rPr>
          <w:rFonts w:ascii="宋体" w:hAnsi="宋体"/>
          <w:sz w:val="28"/>
          <w:szCs w:val="28"/>
        </w:rPr>
        <w:t>2.</w:t>
      </w:r>
      <w:r>
        <w:rPr>
          <w:rFonts w:hint="eastAsia" w:ascii="宋体" w:hAnsi="宋体"/>
          <w:sz w:val="28"/>
          <w:szCs w:val="28"/>
        </w:rPr>
        <w:t>毕业要求</w:t>
      </w:r>
      <w:bookmarkEnd w:id="14"/>
    </w:p>
    <w:p>
      <w:pPr>
        <w:snapToGrid w:val="0"/>
        <w:spacing w:line="360" w:lineRule="auto"/>
        <w:ind w:firstLine="480" w:firstLineChars="200"/>
        <w:jc w:val="both"/>
        <w:rPr>
          <w:rFonts w:cs="Times New Roman"/>
          <w:color w:val="000000"/>
        </w:rPr>
      </w:pPr>
      <w:r>
        <w:rPr>
          <w:rFonts w:hint="eastAsia" w:cs="Times New Roman"/>
          <w:color w:val="000000"/>
        </w:rPr>
        <w:t xml:space="preserve">本专业要求学生熟读东方管理学、中国管理学以及管理学、经济学、中国古典名著精读基础理论与经典名著，通过大量的东西方企业管理案例分析和不同文化和管理理论比较分析的训练，厚实学养，培养学生具备发现问题和解决问题的能力。 </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毕业要求1：具有扎实的管理学、经济学及中国管理学、东方管理学等基本理论知识和专业知识，掌握必备的研究方法，了解本专业及相关领域最新动态和发展趋势。</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毕业要求2：熟读中外经典名著，理解中西方管理文化的根源及异同，具备开放包容的国际视野。</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毕业要求3：具备运用东方管理理论分析组织可持续发展问题的意识。</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毕业要求4：熟悉中国国有企业、民营企业管理的现状及特点，具备发现问题和解决问题的综合能力。</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毕业要求5：熟悉中国企业、外资企业管理模式和管理行为，具备分析企业国际化问题的能力。</w:t>
      </w:r>
    </w:p>
    <w:p>
      <w:pPr>
        <w:widowControl w:val="0"/>
        <w:snapToGrid w:val="0"/>
        <w:spacing w:line="360" w:lineRule="auto"/>
        <w:ind w:firstLine="480" w:firstLineChars="200"/>
        <w:jc w:val="both"/>
        <w:rPr>
          <w:rFonts w:ascii="仿宋" w:hAnsi="仿宋" w:eastAsia="仿宋" w:cstheme="minorBidi"/>
          <w:color w:val="FF0000"/>
          <w:kern w:val="2"/>
        </w:rPr>
      </w:pPr>
      <w:r>
        <w:rPr>
          <w:rFonts w:hint="eastAsia" w:cs="Times New Roman"/>
          <w:color w:val="000000" w:themeColor="text1"/>
          <w14:textFill>
            <w14:solidFill>
              <w14:schemeClr w14:val="tx1"/>
            </w14:solidFill>
          </w14:textFill>
        </w:rPr>
        <w:t>毕业要求6：具备美育素养、通过参加各类社会实践活动，获得劳动、生活与工作的适应、协调能力。</w:t>
      </w:r>
    </w:p>
    <w:p>
      <w:pPr>
        <w:pStyle w:val="3"/>
        <w:spacing w:after="120" w:line="415" w:lineRule="auto"/>
        <w:jc w:val="left"/>
        <w:rPr>
          <w:rFonts w:ascii="宋体" w:hAnsi="宋体"/>
          <w:sz w:val="28"/>
          <w:szCs w:val="28"/>
        </w:rPr>
      </w:pPr>
      <w:bookmarkStart w:id="15" w:name="_Toc155617878"/>
      <w:r>
        <w:rPr>
          <w:rFonts w:ascii="宋体" w:hAnsi="宋体"/>
          <w:sz w:val="28"/>
          <w:szCs w:val="28"/>
        </w:rPr>
        <w:t>3.</w:t>
      </w:r>
      <w:r>
        <w:rPr>
          <w:rFonts w:hint="eastAsia" w:ascii="宋体" w:hAnsi="宋体"/>
          <w:sz w:val="28"/>
          <w:szCs w:val="28"/>
        </w:rPr>
        <w:t>培养情况</w:t>
      </w:r>
      <w:bookmarkEnd w:id="15"/>
    </w:p>
    <w:p>
      <w:pPr>
        <w:pStyle w:val="4"/>
        <w:rPr>
          <w:rFonts w:ascii="宋体" w:hAnsi="宋体" w:eastAsia="宋体"/>
          <w:b w:val="0"/>
          <w:bCs w:val="0"/>
          <w:sz w:val="24"/>
          <w:szCs w:val="24"/>
        </w:rPr>
      </w:pPr>
      <w:bookmarkStart w:id="16" w:name="_Toc155617879"/>
      <w:r>
        <w:rPr>
          <w:rFonts w:hint="eastAsia" w:ascii="宋体" w:hAnsi="宋体" w:eastAsia="宋体"/>
          <w:b w:val="0"/>
          <w:bCs w:val="0"/>
          <w:sz w:val="24"/>
          <w:szCs w:val="24"/>
        </w:rPr>
        <w:t>3</w:t>
      </w:r>
      <w:r>
        <w:rPr>
          <w:rFonts w:ascii="宋体" w:hAnsi="宋体" w:eastAsia="宋体"/>
          <w:b w:val="0"/>
          <w:bCs w:val="0"/>
          <w:sz w:val="24"/>
          <w:szCs w:val="24"/>
        </w:rPr>
        <w:t>.1</w:t>
      </w:r>
      <w:r>
        <w:rPr>
          <w:rFonts w:hint="eastAsia" w:ascii="宋体" w:hAnsi="宋体" w:eastAsia="宋体"/>
          <w:b w:val="0"/>
          <w:bCs w:val="0"/>
          <w:sz w:val="24"/>
          <w:szCs w:val="24"/>
        </w:rPr>
        <w:t>专业建设情况</w:t>
      </w:r>
      <w:bookmarkEnd w:id="16"/>
    </w:p>
    <w:p>
      <w:pPr>
        <w:snapToGrid w:val="0"/>
        <w:spacing w:line="360" w:lineRule="auto"/>
        <w:ind w:firstLine="480" w:firstLineChars="200"/>
        <w:jc w:val="both"/>
        <w:rPr>
          <w:rFonts w:cs="Times New Roman"/>
          <w:color w:val="000000"/>
        </w:rPr>
      </w:pPr>
      <w:r>
        <w:rPr>
          <w:rFonts w:cs="Times New Roman"/>
          <w:color w:val="000000"/>
        </w:rPr>
        <w:t>1.专业课程概况（包括专业教师开设的课程总门数，课程思政、精品课程、重点课程，双语课程、全英语课程、在线课程等建设和获批情况）。</w:t>
      </w:r>
    </w:p>
    <w:p>
      <w:pPr>
        <w:snapToGrid w:val="0"/>
        <w:spacing w:line="360" w:lineRule="auto"/>
        <w:ind w:firstLine="480" w:firstLineChars="200"/>
        <w:jc w:val="both"/>
        <w:rPr>
          <w:rFonts w:cs="Times New Roman"/>
          <w:color w:val="FF0000"/>
        </w:rPr>
      </w:pPr>
      <w:r>
        <w:rPr>
          <w:rFonts w:hint="eastAsia" w:cs="Times New Roman"/>
          <w:color w:val="000000"/>
        </w:rPr>
        <w:t>东方管理</w:t>
      </w:r>
      <w:r>
        <w:rPr>
          <w:rFonts w:hint="eastAsia" w:cs="Times New Roman"/>
          <w:color w:val="000000" w:themeColor="text1"/>
          <w14:textFill>
            <w14:solidFill>
              <w14:schemeClr w14:val="tx1"/>
            </w14:solidFill>
          </w14:textFill>
        </w:rPr>
        <w:t>专业目前共有11</w:t>
      </w:r>
      <w:r>
        <w:rPr>
          <w:rFonts w:cs="Times New Roman"/>
          <w:color w:val="000000" w:themeColor="text1"/>
          <w14:textFill>
            <w14:solidFill>
              <w14:schemeClr w14:val="tx1"/>
            </w14:solidFill>
          </w14:textFill>
        </w:rPr>
        <w:t>名专业教师，共开设课程18门，其中上海市精品/重点课程有《东方管理学概论》，校级金课课程《企业文化》。通过了2013年上海市新专业评估、2015年专业合格性评估以及在学校的2016年</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023</w:t>
      </w:r>
      <w:r>
        <w:rPr>
          <w:rFonts w:hint="eastAsia" w:cs="Times New Roman"/>
          <w:color w:val="000000" w:themeColor="text1"/>
          <w14:textFill>
            <w14:solidFill>
              <w14:schemeClr w14:val="tx1"/>
            </w14:solidFill>
          </w14:textFill>
        </w:rPr>
        <w:t>年</w:t>
      </w:r>
      <w:r>
        <w:rPr>
          <w:rFonts w:cs="Times New Roman"/>
          <w:color w:val="000000" w:themeColor="text1"/>
          <w14:textFill>
            <w14:solidFill>
              <w14:schemeClr w14:val="tx1"/>
            </w14:solidFill>
          </w14:textFill>
        </w:rPr>
        <w:t>教育部审核评估</w:t>
      </w:r>
      <w:r>
        <w:rPr>
          <w:rFonts w:hint="eastAsia" w:cs="Times New Roman"/>
          <w:color w:val="000000" w:themeColor="text1"/>
          <w14:textFill>
            <w14:solidFill>
              <w14:schemeClr w14:val="tx1"/>
            </w14:solidFill>
          </w14:textFill>
        </w:rPr>
        <w:t>中</w:t>
      </w:r>
      <w:r>
        <w:rPr>
          <w:rFonts w:cs="Times New Roman"/>
          <w:color w:val="000000" w:themeColor="text1"/>
          <w14:textFill>
            <w14:solidFill>
              <w14:schemeClr w14:val="tx1"/>
            </w14:solidFill>
          </w14:textFill>
        </w:rPr>
        <w:t>，在专业课程建设方面</w:t>
      </w:r>
      <w:r>
        <w:rPr>
          <w:rFonts w:hint="eastAsia" w:cs="Times New Roman"/>
          <w:color w:val="000000" w:themeColor="text1"/>
          <w14:textFill>
            <w14:solidFill>
              <w14:schemeClr w14:val="tx1"/>
            </w14:solidFill>
          </w14:textFill>
        </w:rPr>
        <w:t>均</w:t>
      </w:r>
      <w:r>
        <w:rPr>
          <w:rFonts w:cs="Times New Roman"/>
          <w:color w:val="000000" w:themeColor="text1"/>
          <w14:textFill>
            <w14:solidFill>
              <w14:schemeClr w14:val="tx1"/>
            </w14:solidFill>
          </w14:textFill>
        </w:rPr>
        <w:t>获专家好评。在学院层面由本专业教师、学校督导组、学生代表组成，进行本专业教学工作效果的常态性评估评价，形成了目标明确、教师敬业、教学方法多元的特色专业。专业的每一名教师每学期都承担1-2门课程的教学工作教授全部给本科生授课，教授</w:t>
      </w:r>
      <w:r>
        <w:rPr>
          <w:rFonts w:cs="Times New Roman"/>
          <w:color w:val="000000"/>
        </w:rPr>
        <w:t>给本科生授课人均150学时/</w:t>
      </w:r>
      <w:r>
        <w:rPr>
          <w:rFonts w:hint="eastAsia" w:cs="Times New Roman"/>
          <w:color w:val="000000"/>
        </w:rPr>
        <w:t>学年以上。</w:t>
      </w:r>
    </w:p>
    <w:p>
      <w:pPr>
        <w:snapToGrid w:val="0"/>
        <w:spacing w:line="360" w:lineRule="auto"/>
        <w:ind w:firstLine="48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2.课程教学大纲制定情况。</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专业所有课程均有完整的教学大纲。专业要求每门任课教师开课前必须要备好教学大纲、教学计划表和教学方案，其中教学大纲和教学计划表每学期开课前必须向教务部门提交备案，严格按照教学计划表的进度和内容进行授课。</w:t>
      </w:r>
      <w:r>
        <w:rPr>
          <w:rFonts w:hint="eastAsia" w:cs="Times New Roman"/>
          <w:b/>
          <w:bCs/>
          <w:color w:val="000000" w:themeColor="text1"/>
          <w14:textFill>
            <w14:solidFill>
              <w14:schemeClr w14:val="tx1"/>
            </w14:solidFill>
          </w14:textFill>
        </w:rPr>
        <w:t>2</w:t>
      </w:r>
      <w:r>
        <w:rPr>
          <w:rFonts w:cs="Times New Roman"/>
          <w:b/>
          <w:bCs/>
          <w:color w:val="000000" w:themeColor="text1"/>
          <w14:textFill>
            <w14:solidFill>
              <w14:schemeClr w14:val="tx1"/>
            </w14:solidFill>
          </w14:textFill>
        </w:rPr>
        <w:t>023</w:t>
      </w:r>
      <w:r>
        <w:rPr>
          <w:rFonts w:hint="eastAsia" w:cs="Times New Roman"/>
          <w:b/>
          <w:bCs/>
          <w:color w:val="000000" w:themeColor="text1"/>
          <w14:textFill>
            <w14:solidFill>
              <w14:schemeClr w14:val="tx1"/>
            </w14:solidFill>
          </w14:textFill>
        </w:rPr>
        <w:t>年度对教学大纲进行了修订，增加育人要求、课程目标与毕业目标匹配、课程目标达成评价分析等内容。</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3.教材建设情况。</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本专业教材选优选新使用率≥</w:t>
      </w:r>
      <w:r>
        <w:rPr>
          <w:rFonts w:cs="Times New Roman"/>
          <w:color w:val="000000" w:themeColor="text1"/>
          <w14:textFill>
            <w14:solidFill>
              <w14:schemeClr w14:val="tx1"/>
            </w14:solidFill>
          </w14:textFill>
        </w:rPr>
        <w:t>60％，其中，专业基础课和专业课基本选用近三年出版的优秀获奖教材或面向21世纪教材。专业教学团队积极组织教师参与各类教材的编写工作，《美国企业管理案例研究》、《日本企业管理案例研究》、《欧洲企业管理案例研究》等核心专业课程均已出版并使用自编教材。</w:t>
      </w:r>
      <w:r>
        <w:rPr>
          <w:rFonts w:hint="eastAsia" w:cs="Times New Roman"/>
          <w:b/>
          <w:bCs/>
          <w:color w:val="000000" w:themeColor="text1"/>
          <w14:textFill>
            <w14:solidFill>
              <w14:schemeClr w14:val="tx1"/>
            </w14:solidFill>
          </w14:textFill>
        </w:rPr>
        <w:t>2</w:t>
      </w:r>
      <w:r>
        <w:rPr>
          <w:rFonts w:cs="Times New Roman"/>
          <w:b/>
          <w:bCs/>
          <w:color w:val="000000" w:themeColor="text1"/>
          <w14:textFill>
            <w14:solidFill>
              <w14:schemeClr w14:val="tx1"/>
            </w14:solidFill>
          </w14:textFill>
        </w:rPr>
        <w:t>023</w:t>
      </w:r>
      <w:r>
        <w:rPr>
          <w:rFonts w:hint="eastAsia" w:cs="Times New Roman"/>
          <w:b/>
          <w:bCs/>
          <w:color w:val="000000" w:themeColor="text1"/>
          <w14:textFill>
            <w14:solidFill>
              <w14:schemeClr w14:val="tx1"/>
            </w14:solidFill>
          </w14:textFill>
        </w:rPr>
        <w:t>年部分课程更新了近五年的教材。</w:t>
      </w:r>
    </w:p>
    <w:p>
      <w:pPr>
        <w:pStyle w:val="4"/>
        <w:rPr>
          <w:rFonts w:ascii="宋体" w:hAnsi="宋体" w:eastAsia="宋体"/>
          <w:b w:val="0"/>
          <w:bCs w:val="0"/>
          <w:color w:val="000000" w:themeColor="text1"/>
          <w:sz w:val="24"/>
          <w:szCs w:val="24"/>
          <w14:textFill>
            <w14:solidFill>
              <w14:schemeClr w14:val="tx1"/>
            </w14:solidFill>
          </w14:textFill>
        </w:rPr>
      </w:pPr>
      <w:bookmarkStart w:id="17" w:name="_Toc155617880"/>
      <w:r>
        <w:rPr>
          <w:rFonts w:ascii="宋体" w:hAnsi="宋体" w:eastAsia="宋体"/>
          <w:b w:val="0"/>
          <w:bCs w:val="0"/>
          <w:color w:val="000000" w:themeColor="text1"/>
          <w:sz w:val="24"/>
          <w:szCs w:val="24"/>
          <w14:textFill>
            <w14:solidFill>
              <w14:schemeClr w14:val="tx1"/>
            </w14:solidFill>
          </w14:textFill>
        </w:rPr>
        <w:t>3.2专业教学计划</w:t>
      </w:r>
      <w:bookmarkEnd w:id="17"/>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本专业基本学制</w:t>
      </w:r>
      <w:r>
        <w:rPr>
          <w:rFonts w:cs="Times New Roman"/>
          <w:color w:val="000000" w:themeColor="text1"/>
          <w14:textFill>
            <w14:solidFill>
              <w14:schemeClr w14:val="tx1"/>
            </w14:solidFill>
          </w14:textFill>
        </w:rPr>
        <w:t>4年，学生可在3至6年内完成学业。学生在学习年限内必须修满培养计划规定的各教学模块的学分，总学分达159学分。其中各类必修学分达到108学分，选修学分达到51学分（含第二课堂4学分），方能毕业。</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 xml:space="preserve">专业课程体系主要分为以下几个模块： </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（1）管理与经济基础理论类：管理学、宏观经济学、微观经济学、会计学、战略管理等；</w:t>
      </w:r>
    </w:p>
    <w:p>
      <w:pPr>
        <w:snapToGrid w:val="0"/>
        <w:spacing w:line="360" w:lineRule="auto"/>
        <w:ind w:firstLine="480" w:firstLineChars="2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（2）东方管理专业理论类：中国管理学概论、东方管理学概论、经济学名著选读、管理学名著选读、东西方管理思想史、中国古典名著精读等；</w:t>
      </w:r>
    </w:p>
    <w:p>
      <w:pPr>
        <w:snapToGrid w:val="0"/>
        <w:spacing w:line="360" w:lineRule="auto"/>
        <w:ind w:firstLine="480" w:firstLineChars="200"/>
        <w:jc w:val="both"/>
        <w:rPr>
          <w:rFonts w:cs="Times New Roman"/>
          <w:color w:val="FF0000"/>
        </w:rPr>
      </w:pPr>
      <w:r>
        <w:rPr>
          <w:rFonts w:hint="eastAsia" w:cs="Times New Roman"/>
          <w:color w:val="000000" w:themeColor="text1"/>
          <w14:textFill>
            <w14:solidFill>
              <w14:schemeClr w14:val="tx1"/>
            </w14:solidFill>
          </w14:textFill>
        </w:rPr>
        <w:t>（3）东方管理专业方案例分析类：亚洲企业管理案例研究、欧美企业管理案例研究等。</w:t>
      </w:r>
    </w:p>
    <w:tbl>
      <w:tblPr>
        <w:tblStyle w:val="17"/>
        <w:tblW w:w="0" w:type="auto"/>
        <w:jc w:val="center"/>
        <w:tblCellSpacing w:w="15" w:type="dxa"/>
        <w:tblLayout w:type="fixed"/>
        <w:tblCellMar>
          <w:top w:w="0" w:type="dxa"/>
          <w:left w:w="108" w:type="dxa"/>
          <w:bottom w:w="0" w:type="dxa"/>
          <w:right w:w="108" w:type="dxa"/>
        </w:tblCellMar>
      </w:tblPr>
      <w:tblGrid>
        <w:gridCol w:w="8237"/>
      </w:tblGrid>
      <w:tr>
        <w:tblPrEx>
          <w:tblCellMar>
            <w:top w:w="0" w:type="dxa"/>
            <w:left w:w="108" w:type="dxa"/>
            <w:bottom w:w="0" w:type="dxa"/>
            <w:right w:w="108" w:type="dxa"/>
          </w:tblCellMar>
        </w:tblPrEx>
        <w:trPr>
          <w:tblCellSpacing w:w="15" w:type="dxa"/>
          <w:jc w:val="center"/>
        </w:trPr>
        <w:tc>
          <w:tcPr>
            <w:tcW w:w="8177" w:type="dxa"/>
            <w:tcMar>
              <w:top w:w="15" w:type="dxa"/>
              <w:left w:w="15" w:type="dxa"/>
              <w:bottom w:w="15" w:type="dxa"/>
              <w:right w:w="15" w:type="dxa"/>
            </w:tcMar>
            <w:vAlign w:val="center"/>
          </w:tcPr>
          <w:p>
            <w:pPr>
              <w:spacing w:line="360" w:lineRule="auto"/>
              <w:ind w:firstLine="374"/>
              <w:rPr>
                <w:sz w:val="21"/>
                <w:szCs w:val="21"/>
              </w:rPr>
            </w:pPr>
            <w:r>
              <w:rPr>
                <w:rFonts w:hint="eastAsia"/>
                <w:sz w:val="21"/>
                <w:szCs w:val="21"/>
              </w:rPr>
              <w:t>课程体系与毕业要求矩阵表：</w:t>
            </w:r>
          </w:p>
          <w:tbl>
            <w:tblPr>
              <w:tblStyle w:val="17"/>
              <w:tblW w:w="5558" w:type="dxa"/>
              <w:tblInd w:w="120" w:type="dxa"/>
              <w:tblBorders>
                <w:top w:val="outset" w:color="auto" w:sz="8" w:space="0"/>
                <w:left w:val="outset" w:color="auto" w:sz="8" w:space="0"/>
                <w:bottom w:val="outset" w:color="auto" w:sz="8" w:space="0"/>
                <w:right w:val="outset" w:color="auto" w:sz="8" w:space="0"/>
                <w:insideH w:val="none" w:color="auto" w:sz="0" w:space="0"/>
                <w:insideV w:val="none" w:color="auto" w:sz="0" w:space="0"/>
              </w:tblBorders>
              <w:tblLayout w:type="fixed"/>
              <w:tblCellMar>
                <w:top w:w="15" w:type="dxa"/>
                <w:left w:w="15" w:type="dxa"/>
                <w:bottom w:w="15" w:type="dxa"/>
                <w:right w:w="15" w:type="dxa"/>
              </w:tblCellMar>
            </w:tblPr>
            <w:tblGrid>
              <w:gridCol w:w="2977"/>
              <w:gridCol w:w="425"/>
              <w:gridCol w:w="426"/>
              <w:gridCol w:w="425"/>
              <w:gridCol w:w="425"/>
              <w:gridCol w:w="425"/>
              <w:gridCol w:w="455"/>
            </w:tblGrid>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rPr>
                <w:trHeight w:val="736" w:hRule="atLeast"/>
              </w:trPr>
              <w:tc>
                <w:tcPr>
                  <w:tcW w:w="2977" w:type="dxa"/>
                </w:tcPr>
                <w:p>
                  <w:pPr>
                    <w:spacing w:before="100" w:beforeAutospacing="1" w:after="100" w:afterAutospacing="1"/>
                    <w:jc w:val="right"/>
                    <w:rPr>
                      <w:rFonts w:ascii="Times New Roman" w:hAnsi="Times New Roman" w:cs="Times New Roman"/>
                      <w:sz w:val="20"/>
                      <w:szCs w:val="20"/>
                    </w:rPr>
                  </w:pPr>
                  <w:r>
                    <w:rPr>
                      <w:rFonts w:ascii="仿宋" w:hAnsi="仿宋" w:eastAsia="仿宋" w:cs="Times New Roman"/>
                      <w:b/>
                      <w:bCs/>
                    </w:rPr>
                    <w:t>毕业要求序号</w:t>
                  </w:r>
                </w:p>
                <w:p>
                  <w:pPr>
                    <w:spacing w:before="100" w:beforeAutospacing="1" w:after="100" w:afterAutospacing="1"/>
                    <w:jc w:val="both"/>
                    <w:rPr>
                      <w:rFonts w:ascii="Times New Roman" w:hAnsi="Times New Roman" w:cs="Times New Roman"/>
                      <w:sz w:val="20"/>
                      <w:szCs w:val="20"/>
                    </w:rPr>
                  </w:pPr>
                  <w:r>
                    <w:rPr>
                      <w:rFonts w:ascii="仿宋" w:hAnsi="仿宋" w:eastAsia="仿宋" w:cs="Times New Roman"/>
                      <w:b/>
                      <w:bCs/>
                    </w:rPr>
                    <w:t>课程名称</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1</w:t>
                  </w:r>
                  <w:r>
                    <w:rPr>
                      <w:rFonts w:ascii="Calibri" w:hAnsi="Calibri" w:eastAsia="仿宋" w:cs="Calibri"/>
                      <w:b/>
                      <w:bCs/>
                    </w:rPr>
                    <w:t> </w:t>
                  </w:r>
                  <w:r>
                    <w:rPr>
                      <w:rFonts w:ascii="仿宋" w:hAnsi="仿宋" w:eastAsia="仿宋" w:cs="Times New Roman"/>
                      <w:b/>
                      <w:bCs/>
                    </w:rPr>
                    <w:t xml:space="preserve"> </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2</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3</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4</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5</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6</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sz w:val="21"/>
                      <w:szCs w:val="21"/>
                    </w:rPr>
                    <w:t>习近平新时代中国特色社会主义思想</w:t>
                  </w:r>
                  <w:r>
                    <w:rPr>
                      <w:rFonts w:hint="eastAsia" w:ascii="仿宋" w:hAnsi="仿宋" w:eastAsia="仿宋" w:cs="Times New Roman"/>
                      <w:sz w:val="21"/>
                      <w:szCs w:val="21"/>
                    </w:rPr>
                    <w:t>概论</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思想道德与法治</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形势与政策1～8</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劳动教育1～4</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大学生创业</w:t>
                  </w:r>
                  <w:r>
                    <w:rPr>
                      <w:rFonts w:hint="eastAsia" w:ascii="仿宋" w:hAnsi="仿宋" w:eastAsia="仿宋" w:cs="Times New Roman"/>
                      <w:color w:val="000000" w:themeColor="text1"/>
                      <w:sz w:val="21"/>
                      <w:szCs w:val="21"/>
                      <w14:textFill>
                        <w14:solidFill>
                          <w14:schemeClr w14:val="tx1"/>
                        </w14:solidFill>
                      </w14:textFill>
                    </w:rPr>
                    <w:t>生涯规划</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军事理论</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中国近现代史纲要</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马克思主义基本原理</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rPr>
                <w:trHeight w:val="179" w:hRule="atLeast"/>
              </w:trPr>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毛泽东思想和中国特色社会主义理论体系概论</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大学生就业指导</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r>
                    <w:rPr>
                      <w:rFonts w:ascii="Times New Roman" w:hAnsi="Times New Roman" w:cs="Times New Roman"/>
                      <w:b/>
                      <w:bCs/>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 xml:space="preserve">高等数学C（上） </w:t>
                  </w:r>
                  <w:r>
                    <w:rPr>
                      <w:rFonts w:hint="eastAsia" w:ascii="仿宋" w:hAnsi="仿宋" w:eastAsia="仿宋" w:cs="Times New Roman"/>
                      <w:color w:val="000000" w:themeColor="text1"/>
                      <w:sz w:val="21"/>
                      <w:szCs w:val="21"/>
                      <w14:textFill>
                        <w14:solidFill>
                          <w14:schemeClr w14:val="tx1"/>
                        </w14:solidFill>
                      </w14:textFill>
                    </w:rPr>
                    <w:t>（下）</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hint="eastAsia" w:ascii="仿宋" w:hAnsi="仿宋" w:eastAsia="仿宋" w:cs="Times New Roman"/>
                      <w:color w:val="000000" w:themeColor="text1"/>
                      <w:sz w:val="21"/>
                      <w:szCs w:val="21"/>
                      <w14:textFill>
                        <w14:solidFill>
                          <w14:schemeClr w14:val="tx1"/>
                        </w14:solidFill>
                      </w14:textFill>
                    </w:rPr>
                    <w:t>大学生心理健康</w:t>
                  </w:r>
                </w:p>
              </w:tc>
              <w:tc>
                <w:tcPr>
                  <w:tcW w:w="425" w:type="dxa"/>
                  <w:vAlign w:val="center"/>
                </w:tcPr>
                <w:p>
                  <w:pPr>
                    <w:spacing w:before="100" w:beforeAutospacing="1" w:after="100" w:afterAutospacing="1"/>
                    <w:jc w:val="center"/>
                    <w:rPr>
                      <w:rFonts w:ascii="仿宋" w:hAnsi="仿宋" w:eastAsia="仿宋" w:cs="Times New Roman"/>
                      <w:b/>
                      <w:bCs/>
                    </w:rPr>
                  </w:pPr>
                  <w:r>
                    <w:rPr>
                      <w:rFonts w:ascii="仿宋" w:hAnsi="仿宋" w:eastAsia="仿宋" w:cs="Times New Roman"/>
                      <w:b/>
                      <w:bCs/>
                    </w:rPr>
                    <w:t>H</w:t>
                  </w:r>
                </w:p>
              </w:tc>
              <w:tc>
                <w:tcPr>
                  <w:tcW w:w="426" w:type="dxa"/>
                  <w:vAlign w:val="center"/>
                </w:tcPr>
                <w:p>
                  <w:pPr>
                    <w:spacing w:before="100" w:beforeAutospacing="1" w:after="100" w:afterAutospacing="1"/>
                    <w:jc w:val="center"/>
                    <w:rPr>
                      <w:rFonts w:cs="Times New Roman"/>
                    </w:rPr>
                  </w:pPr>
                </w:p>
              </w:tc>
              <w:tc>
                <w:tcPr>
                  <w:tcW w:w="425" w:type="dxa"/>
                  <w:vAlign w:val="center"/>
                </w:tcPr>
                <w:p>
                  <w:pPr>
                    <w:spacing w:before="100" w:beforeAutospacing="1" w:after="100" w:afterAutospacing="1"/>
                    <w:rPr>
                      <w:rFonts w:cs="Times New Roman"/>
                    </w:rPr>
                  </w:pPr>
                </w:p>
              </w:tc>
              <w:tc>
                <w:tcPr>
                  <w:tcW w:w="425" w:type="dxa"/>
                  <w:vAlign w:val="center"/>
                </w:tcPr>
                <w:p>
                  <w:pPr>
                    <w:spacing w:before="100" w:beforeAutospacing="1" w:after="100" w:afterAutospacing="1"/>
                    <w:jc w:val="center"/>
                    <w:rPr>
                      <w:rFonts w:cs="Times New Roman"/>
                    </w:rPr>
                  </w:pPr>
                </w:p>
              </w:tc>
              <w:tc>
                <w:tcPr>
                  <w:tcW w:w="425" w:type="dxa"/>
                  <w:vAlign w:val="center"/>
                </w:tcPr>
                <w:p>
                  <w:pPr>
                    <w:spacing w:before="100" w:beforeAutospacing="1" w:after="100" w:afterAutospacing="1"/>
                    <w:jc w:val="center"/>
                    <w:rPr>
                      <w:rFonts w:cs="Times New Roman"/>
                    </w:rPr>
                  </w:pPr>
                </w:p>
              </w:tc>
              <w:tc>
                <w:tcPr>
                  <w:tcW w:w="455" w:type="dxa"/>
                  <w:vAlign w:val="center"/>
                </w:tcPr>
                <w:p>
                  <w:pPr>
                    <w:spacing w:before="100" w:beforeAutospacing="1" w:after="100" w:afterAutospacing="1"/>
                    <w:jc w:val="center"/>
                    <w:rPr>
                      <w:rFonts w:cs="Times New Roman"/>
                    </w:rPr>
                  </w:pPr>
                  <w:r>
                    <w:rPr>
                      <w:rFonts w:cs="Times New Roman"/>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线性代数</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概率论与数理统计</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计算机信息技术</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体育(一)～(四)</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体质健康</w:t>
                  </w:r>
                  <w:r>
                    <w:rPr>
                      <w:rFonts w:hint="eastAsia" w:ascii="仿宋" w:hAnsi="仿宋" w:eastAsia="仿宋" w:cs="Times New Roman"/>
                      <w:color w:val="000000" w:themeColor="text1"/>
                      <w:sz w:val="21"/>
                      <w:szCs w:val="21"/>
                      <w14:textFill>
                        <w14:solidFill>
                          <w14:schemeClr w14:val="tx1"/>
                        </w14:solidFill>
                      </w14:textFill>
                    </w:rPr>
                    <w:t>（一） （四）</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6"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hint="eastAsia" w:ascii="仿宋" w:hAnsi="仿宋" w:eastAsia="仿宋" w:cs="Times New Roman"/>
                      <w:color w:val="000000" w:themeColor="text1"/>
                      <w:sz w:val="21"/>
                      <w:szCs w:val="21"/>
                      <w14:textFill>
                        <w14:solidFill>
                          <w14:schemeClr w14:val="tx1"/>
                        </w14:solidFill>
                      </w14:textFill>
                    </w:rPr>
                    <w:t>经管专业导论</w:t>
                  </w:r>
                </w:p>
              </w:tc>
              <w:tc>
                <w:tcPr>
                  <w:tcW w:w="425" w:type="dxa"/>
                  <w:vAlign w:val="center"/>
                </w:tcPr>
                <w:p>
                  <w:pPr>
                    <w:spacing w:before="100" w:beforeAutospacing="1" w:after="100" w:afterAutospacing="1"/>
                    <w:jc w:val="center"/>
                    <w:rPr>
                      <w:rFonts w:ascii="仿宋" w:hAnsi="仿宋" w:eastAsia="仿宋" w:cs="Times New Roman"/>
                      <w:b/>
                      <w:bCs/>
                    </w:rPr>
                  </w:pPr>
                  <w:r>
                    <w:rPr>
                      <w:rFonts w:ascii="仿宋" w:hAnsi="仿宋" w:eastAsia="仿宋" w:cs="Times New Roman"/>
                      <w:b/>
                      <w:bCs/>
                    </w:rPr>
                    <w:t>H</w:t>
                  </w:r>
                </w:p>
              </w:tc>
              <w:tc>
                <w:tcPr>
                  <w:tcW w:w="426" w:type="dxa"/>
                  <w:vAlign w:val="center"/>
                </w:tcPr>
                <w:p>
                  <w:pPr>
                    <w:spacing w:before="100" w:beforeAutospacing="1" w:after="100" w:afterAutospacing="1"/>
                    <w:jc w:val="center"/>
                    <w:rPr>
                      <w:rFonts w:cs="Times New Roman"/>
                    </w:rPr>
                  </w:pPr>
                </w:p>
              </w:tc>
              <w:tc>
                <w:tcPr>
                  <w:tcW w:w="425" w:type="dxa"/>
                  <w:vAlign w:val="center"/>
                </w:tcPr>
                <w:p>
                  <w:pPr>
                    <w:spacing w:before="100" w:beforeAutospacing="1" w:after="100" w:afterAutospacing="1"/>
                    <w:jc w:val="center"/>
                    <w:rPr>
                      <w:rFonts w:cs="Times New Roman"/>
                    </w:rPr>
                  </w:pPr>
                </w:p>
              </w:tc>
              <w:tc>
                <w:tcPr>
                  <w:tcW w:w="425" w:type="dxa"/>
                  <w:vAlign w:val="center"/>
                </w:tcPr>
                <w:p>
                  <w:pPr>
                    <w:spacing w:before="100" w:beforeAutospacing="1" w:after="100" w:afterAutospacing="1"/>
                    <w:jc w:val="center"/>
                    <w:rPr>
                      <w:rFonts w:cs="Times New Roman"/>
                    </w:rPr>
                  </w:pPr>
                </w:p>
              </w:tc>
              <w:tc>
                <w:tcPr>
                  <w:tcW w:w="425" w:type="dxa"/>
                  <w:vAlign w:val="center"/>
                </w:tcPr>
                <w:p>
                  <w:pPr>
                    <w:spacing w:before="100" w:beforeAutospacing="1" w:after="100" w:afterAutospacing="1"/>
                    <w:jc w:val="center"/>
                    <w:rPr>
                      <w:rFonts w:cs="Times New Roman"/>
                    </w:rPr>
                  </w:pPr>
                </w:p>
              </w:tc>
              <w:tc>
                <w:tcPr>
                  <w:tcW w:w="455" w:type="dxa"/>
                  <w:vAlign w:val="center"/>
                </w:tcPr>
                <w:p>
                  <w:pPr>
                    <w:spacing w:before="100" w:beforeAutospacing="1" w:after="100" w:afterAutospacing="1"/>
                    <w:rPr>
                      <w:rFonts w:cs="Times New Roman"/>
                    </w:rPr>
                  </w:pP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大学英语综合（一）</w:t>
                  </w:r>
                  <w:r>
                    <w:rPr>
                      <w:rFonts w:hint="eastAsia" w:ascii="仿宋" w:hAnsi="仿宋" w:eastAsia="仿宋" w:cs="Times New Roman"/>
                      <w:color w:val="000000" w:themeColor="text1"/>
                      <w:sz w:val="21"/>
                      <w:szCs w:val="21"/>
                      <w14:textFill>
                        <w14:solidFill>
                          <w14:schemeClr w14:val="tx1"/>
                        </w14:solidFill>
                      </w14:textFill>
                    </w:rPr>
                    <w:t xml:space="preserve"> （二）</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大学英语听说（一）</w:t>
                  </w:r>
                  <w:r>
                    <w:rPr>
                      <w:rFonts w:hint="eastAsia" w:ascii="仿宋" w:hAnsi="仿宋" w:eastAsia="仿宋" w:cs="Times New Roman"/>
                      <w:color w:val="000000" w:themeColor="text1"/>
                      <w:sz w:val="21"/>
                      <w:szCs w:val="21"/>
                      <w14:textFill>
                        <w14:solidFill>
                          <w14:schemeClr w14:val="tx1"/>
                        </w14:solidFill>
                      </w14:textFill>
                    </w:rPr>
                    <w:t xml:space="preserve"> （二）</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hint="eastAsia" w:ascii="仿宋" w:hAnsi="仿宋" w:eastAsia="仿宋" w:cs="Times New Roman"/>
                      <w:color w:val="000000" w:themeColor="text1"/>
                      <w:sz w:val="21"/>
                      <w:szCs w:val="21"/>
                      <w14:textFill>
                        <w14:solidFill>
                          <w14:schemeClr w14:val="tx1"/>
                        </w14:solidFill>
                      </w14:textFill>
                    </w:rPr>
                    <w:t>大学英语拓展课程</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 </w:t>
                  </w:r>
                </w:p>
              </w:tc>
              <w:tc>
                <w:tcPr>
                  <w:tcW w:w="455" w:type="dxa"/>
                  <w:vAlign w:val="center"/>
                </w:tcPr>
                <w:p>
                  <w:pPr>
                    <w:spacing w:before="100" w:beforeAutospacing="1" w:after="100" w:afterAutospacing="1"/>
                    <w:rPr>
                      <w:rFonts w:ascii="Times New Roman" w:hAnsi="Times New Roman" w:cs="Times New Roman"/>
                      <w:sz w:val="20"/>
                      <w:szCs w:val="20"/>
                    </w:rPr>
                  </w:pPr>
                  <w:r>
                    <w:rPr>
                      <w:rFonts w:ascii="Times New Roman" w:hAnsi="Times New Roman" w:cs="Times New Roman"/>
                      <w:sz w:val="20"/>
                      <w:szCs w:val="20"/>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管理学*</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会计学*</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微观经济学*</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宏观经济学*</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战略管理*</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管理信息系统*</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统计学*</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大学语文*</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L</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东方管理学概论*</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人力资源管理*</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组织行为学*</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系统工程*</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运筹学*</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大数据导论*</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信息检索*</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高级语言程序设计*</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中国管理学概论*</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东西方哲学思想比较*</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经济学名著选读*</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6"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管理学名著选读*</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6"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中国古典名著选读*</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6"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管理心理学</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企业文化*</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现代企业形象设计*</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生产运营管理*</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管理决策模型与方法*</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军训</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6"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合作教育(一)</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6"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rPr>
                      <w:rFonts w:ascii="Times New Roman" w:hAnsi="Times New Roman" w:cs="Times New Roman"/>
                      <w:sz w:val="20"/>
                      <w:szCs w:val="20"/>
                    </w:rPr>
                  </w:pPr>
                  <w:r>
                    <w:rPr>
                      <w:rFonts w:cs="Times New Roman"/>
                    </w:rPr>
                    <w:t> </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工程基础训练E</w:t>
                  </w:r>
                </w:p>
              </w:tc>
              <w:tc>
                <w:tcPr>
                  <w:tcW w:w="425" w:type="dxa"/>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合作教育(二)</w:t>
                  </w:r>
                </w:p>
              </w:tc>
              <w:tc>
                <w:tcPr>
                  <w:tcW w:w="425" w:type="dxa"/>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中外企业比较研究实习（一）</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东方管理创新调研实习</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中外企业比较研究实习（二）</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合作教育(三)</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25" w:type="dxa"/>
                  <w:vAlign w:val="center"/>
                </w:tcPr>
                <w:p>
                  <w:pPr>
                    <w:spacing w:before="100" w:beforeAutospacing="1" w:after="100" w:afterAutospacing="1"/>
                    <w:jc w:val="center"/>
                    <w:rPr>
                      <w:rFonts w:ascii="Times New Roman" w:hAnsi="Times New Roman" w:cs="Times New Roman"/>
                      <w:sz w:val="20"/>
                      <w:szCs w:val="20"/>
                    </w:rPr>
                  </w:pPr>
                  <w:r>
                    <w:rPr>
                      <w:rFonts w:cs="Times New Roman"/>
                    </w:rPr>
                    <w:t> </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毕业设计（论文）</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6"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ascii="仿宋" w:hAnsi="仿宋" w:eastAsia="仿宋" w:cs="Times New Roman"/>
                      <w:color w:val="000000" w:themeColor="text1"/>
                      <w:sz w:val="21"/>
                      <w:szCs w:val="21"/>
                      <w14:textFill>
                        <w14:solidFill>
                          <w14:schemeClr w14:val="tx1"/>
                        </w14:solidFill>
                      </w14:textFill>
                    </w:rPr>
                    <w:t>艺术</w:t>
                  </w:r>
                  <w:r>
                    <w:rPr>
                      <w:rFonts w:hint="eastAsia" w:ascii="仿宋" w:hAnsi="仿宋" w:eastAsia="仿宋" w:cs="Times New Roman"/>
                      <w:color w:val="000000" w:themeColor="text1"/>
                      <w:sz w:val="21"/>
                      <w:szCs w:val="21"/>
                      <w14:textFill>
                        <w14:solidFill>
                          <w14:schemeClr w14:val="tx1"/>
                        </w14:solidFill>
                      </w14:textFill>
                    </w:rPr>
                    <w:t>体验与</w:t>
                  </w:r>
                  <w:r>
                    <w:rPr>
                      <w:rFonts w:ascii="仿宋" w:hAnsi="仿宋" w:eastAsia="仿宋" w:cs="Times New Roman"/>
                      <w:color w:val="000000" w:themeColor="text1"/>
                      <w:sz w:val="21"/>
                      <w:szCs w:val="21"/>
                      <w14:textFill>
                        <w14:solidFill>
                          <w14:schemeClr w14:val="tx1"/>
                        </w14:solidFill>
                      </w14:textFill>
                    </w:rPr>
                    <w:t>审美</w:t>
                  </w:r>
                  <w:r>
                    <w:rPr>
                      <w:rFonts w:hint="eastAsia" w:ascii="仿宋" w:hAnsi="仿宋" w:eastAsia="仿宋" w:cs="Times New Roman"/>
                      <w:color w:val="000000" w:themeColor="text1"/>
                      <w:sz w:val="21"/>
                      <w:szCs w:val="21"/>
                      <w14:textFill>
                        <w14:solidFill>
                          <w14:schemeClr w14:val="tx1"/>
                        </w14:solidFill>
                      </w14:textFill>
                    </w:rPr>
                    <w:t>修养</w:t>
                  </w:r>
                </w:p>
              </w:tc>
              <w:tc>
                <w:tcPr>
                  <w:tcW w:w="425" w:type="dxa"/>
                </w:tcPr>
                <w:p>
                  <w:pPr>
                    <w:spacing w:before="100" w:beforeAutospacing="1" w:after="100" w:afterAutospacing="1"/>
                    <w:rPr>
                      <w:rFonts w:ascii="Times New Roman" w:hAnsi="Times New Roman" w:cs="Times New Roman"/>
                      <w:sz w:val="20"/>
                      <w:szCs w:val="20"/>
                    </w:rPr>
                  </w:pPr>
                  <w:r>
                    <w:rPr>
                      <w:rFonts w:cs="Times New Roman"/>
                    </w:rPr>
                    <w:t> </w:t>
                  </w:r>
                </w:p>
              </w:tc>
              <w:tc>
                <w:tcPr>
                  <w:tcW w:w="426" w:type="dxa"/>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rPr>
                      <w:rFonts w:ascii="Times New Roman" w:hAnsi="Times New Roman" w:cs="Times New Roman"/>
                      <w:sz w:val="20"/>
                      <w:szCs w:val="20"/>
                    </w:rPr>
                  </w:pPr>
                  <w:r>
                    <w:rPr>
                      <w:rFonts w:cs="Times New Roman"/>
                    </w:rPr>
                    <w:t> </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color w:val="000000" w:themeColor="text1"/>
                      <w:sz w:val="21"/>
                      <w:szCs w:val="21"/>
                      <w14:textFill>
                        <w14:solidFill>
                          <w14:schemeClr w14:val="tx1"/>
                        </w14:solidFill>
                      </w14:textFill>
                    </w:rPr>
                  </w:pPr>
                  <w:r>
                    <w:rPr>
                      <w:rFonts w:hint="eastAsia" w:ascii="仿宋" w:hAnsi="仿宋" w:eastAsia="仿宋" w:cs="Times New Roman"/>
                      <w:color w:val="000000" w:themeColor="text1"/>
                      <w:sz w:val="21"/>
                      <w:szCs w:val="21"/>
                      <w14:textFill>
                        <w14:solidFill>
                          <w14:schemeClr w14:val="tx1"/>
                        </w14:solidFill>
                      </w14:textFill>
                    </w:rPr>
                    <w:t>创新思维与创业教育</w:t>
                  </w:r>
                </w:p>
              </w:tc>
              <w:tc>
                <w:tcPr>
                  <w:tcW w:w="425" w:type="dxa"/>
                </w:tcPr>
                <w:p>
                  <w:pPr>
                    <w:spacing w:before="100" w:beforeAutospacing="1" w:after="100" w:afterAutospacing="1"/>
                    <w:rPr>
                      <w:rFonts w:cs="Times New Roman"/>
                    </w:rPr>
                  </w:pPr>
                </w:p>
              </w:tc>
              <w:tc>
                <w:tcPr>
                  <w:tcW w:w="426" w:type="dxa"/>
                </w:tcPr>
                <w:p>
                  <w:pPr>
                    <w:spacing w:before="100" w:beforeAutospacing="1" w:after="100" w:afterAutospacing="1"/>
                    <w:rPr>
                      <w:rFonts w:cs="Times New Roman"/>
                    </w:rPr>
                  </w:pPr>
                </w:p>
              </w:tc>
              <w:tc>
                <w:tcPr>
                  <w:tcW w:w="425" w:type="dxa"/>
                </w:tcPr>
                <w:p>
                  <w:pPr>
                    <w:spacing w:before="100" w:beforeAutospacing="1" w:after="100" w:afterAutospacing="1"/>
                    <w:rPr>
                      <w:rFonts w:cs="Times New Roman"/>
                    </w:rPr>
                  </w:pPr>
                </w:p>
              </w:tc>
              <w:tc>
                <w:tcPr>
                  <w:tcW w:w="425" w:type="dxa"/>
                </w:tcPr>
                <w:p>
                  <w:pPr>
                    <w:spacing w:before="100" w:beforeAutospacing="1" w:after="100" w:afterAutospacing="1"/>
                    <w:rPr>
                      <w:rFonts w:cs="Times New Roman"/>
                    </w:rPr>
                  </w:pPr>
                </w:p>
              </w:tc>
              <w:tc>
                <w:tcPr>
                  <w:tcW w:w="425" w:type="dxa"/>
                </w:tcPr>
                <w:p>
                  <w:pPr>
                    <w:spacing w:before="100" w:beforeAutospacing="1" w:after="100" w:afterAutospacing="1"/>
                    <w:rPr>
                      <w:rFonts w:cs="Times New Roman"/>
                    </w:rPr>
                  </w:pPr>
                </w:p>
              </w:tc>
              <w:tc>
                <w:tcPr>
                  <w:tcW w:w="455" w:type="dxa"/>
                </w:tcPr>
                <w:p>
                  <w:pPr>
                    <w:spacing w:before="100" w:beforeAutospacing="1" w:after="100" w:afterAutospacing="1"/>
                    <w:jc w:val="center"/>
                    <w:rPr>
                      <w:rFonts w:ascii="仿宋" w:hAnsi="仿宋" w:eastAsia="仿宋" w:cs="Times New Roman"/>
                      <w:b/>
                      <w:bCs/>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四史类课程</w:t>
                  </w:r>
                </w:p>
              </w:tc>
              <w:tc>
                <w:tcPr>
                  <w:tcW w:w="425" w:type="dxa"/>
                </w:tcPr>
                <w:p>
                  <w:pPr>
                    <w:spacing w:before="100" w:beforeAutospacing="1" w:after="100" w:afterAutospacing="1"/>
                    <w:rPr>
                      <w:rFonts w:ascii="Times New Roman" w:hAnsi="Times New Roman" w:cs="Times New Roman"/>
                      <w:sz w:val="20"/>
                      <w:szCs w:val="20"/>
                    </w:rPr>
                  </w:pPr>
                  <w:r>
                    <w:rPr>
                      <w:rFonts w:cs="Times New Roman"/>
                    </w:rPr>
                    <w:t> </w:t>
                  </w:r>
                </w:p>
              </w:tc>
              <w:tc>
                <w:tcPr>
                  <w:tcW w:w="426" w:type="dxa"/>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rPr>
                      <w:rFonts w:ascii="Times New Roman" w:hAnsi="Times New Roman" w:cs="Times New Roman"/>
                      <w:sz w:val="20"/>
                      <w:szCs w:val="20"/>
                    </w:rPr>
                  </w:pPr>
                  <w:r>
                    <w:rPr>
                      <w:rFonts w:cs="Times New Roman"/>
                    </w:rPr>
                    <w:t> </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创新创业类课程</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6" w:type="dxa"/>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r>
              <w:tblPrEx>
                <w:tblBorders>
                  <w:top w:val="outset" w:color="auto" w:sz="8" w:space="0"/>
                  <w:left w:val="outset" w:color="auto" w:sz="8" w:space="0"/>
                  <w:bottom w:val="outset" w:color="auto" w:sz="8" w:space="0"/>
                  <w:right w:val="outset" w:color="auto" w:sz="8" w:space="0"/>
                  <w:insideH w:val="none" w:color="auto" w:sz="0" w:space="0"/>
                  <w:insideV w:val="none" w:color="auto" w:sz="0" w:space="0"/>
                </w:tblBorders>
                <w:tblCellMar>
                  <w:top w:w="15" w:type="dxa"/>
                  <w:left w:w="15" w:type="dxa"/>
                  <w:bottom w:w="15" w:type="dxa"/>
                  <w:right w:w="15" w:type="dxa"/>
                </w:tblCellMar>
              </w:tblPrEx>
              <w:tc>
                <w:tcPr>
                  <w:tcW w:w="2977" w:type="dxa"/>
                  <w:vAlign w:val="center"/>
                </w:tcPr>
                <w:p>
                  <w:pPr>
                    <w:spacing w:before="100" w:beforeAutospacing="1" w:after="100" w:afterAutospacing="1"/>
                    <w:jc w:val="center"/>
                    <w:rPr>
                      <w:rFonts w:ascii="仿宋" w:hAnsi="仿宋" w:eastAsia="仿宋" w:cs="Times New Roman"/>
                      <w:sz w:val="21"/>
                      <w:szCs w:val="21"/>
                    </w:rPr>
                  </w:pPr>
                  <w:r>
                    <w:rPr>
                      <w:rFonts w:ascii="仿宋" w:hAnsi="仿宋" w:eastAsia="仿宋" w:cs="Times New Roman"/>
                      <w:sz w:val="21"/>
                      <w:szCs w:val="21"/>
                    </w:rPr>
                    <w:t>素质拓展类课程</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6" w:type="dxa"/>
                </w:tcPr>
                <w:p>
                  <w:pPr>
                    <w:spacing w:before="100" w:beforeAutospacing="1" w:after="100" w:afterAutospacing="1"/>
                    <w:rPr>
                      <w:rFonts w:ascii="Times New Roman" w:hAnsi="Times New Roman" w:cs="Times New Roman"/>
                      <w:sz w:val="20"/>
                      <w:szCs w:val="20"/>
                    </w:rPr>
                  </w:pPr>
                  <w:r>
                    <w:rPr>
                      <w:rFonts w:cs="Times New Roman"/>
                    </w:rPr>
                    <w:t> </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c>
                <w:tcPr>
                  <w:tcW w:w="42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M</w:t>
                  </w:r>
                </w:p>
              </w:tc>
              <w:tc>
                <w:tcPr>
                  <w:tcW w:w="455" w:type="dxa"/>
                </w:tcPr>
                <w:p>
                  <w:pPr>
                    <w:spacing w:before="100" w:beforeAutospacing="1" w:after="100" w:afterAutospacing="1"/>
                    <w:jc w:val="center"/>
                    <w:rPr>
                      <w:rFonts w:ascii="Times New Roman" w:hAnsi="Times New Roman" w:cs="Times New Roman"/>
                      <w:sz w:val="20"/>
                      <w:szCs w:val="20"/>
                    </w:rPr>
                  </w:pPr>
                  <w:r>
                    <w:rPr>
                      <w:rFonts w:ascii="仿宋" w:hAnsi="仿宋" w:eastAsia="仿宋" w:cs="Times New Roman"/>
                      <w:b/>
                      <w:bCs/>
                    </w:rPr>
                    <w:t>H</w:t>
                  </w:r>
                </w:p>
              </w:tc>
            </w:tr>
          </w:tbl>
          <w:p>
            <w:pPr>
              <w:snapToGrid w:val="0"/>
              <w:spacing w:line="360" w:lineRule="auto"/>
              <w:jc w:val="both"/>
              <w:rPr>
                <w:rFonts w:ascii="Calibri" w:hAnsi="Calibri" w:cs="Times New Roman"/>
                <w:kern w:val="2"/>
                <w:sz w:val="21"/>
              </w:rPr>
            </w:pPr>
            <w:r>
              <w:rPr>
                <w:sz w:val="21"/>
                <w:szCs w:val="21"/>
              </w:rPr>
              <w:t>注：1.H-高度相关，M-中等相关，L-弱相关。⒉课程名称后加“*”者为该专业核心课程。</w:t>
            </w:r>
          </w:p>
        </w:tc>
      </w:tr>
    </w:tbl>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3.2.1专业教学计划情况</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9"/>
        <w:gridCol w:w="787"/>
        <w:gridCol w:w="2302"/>
        <w:gridCol w:w="813"/>
        <w:gridCol w:w="1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vMerge w:val="restart"/>
            <w:tcBorders>
              <w:top w:val="single" w:color="000000" w:sz="4" w:space="0"/>
              <w:left w:val="single" w:color="000000" w:sz="4" w:space="0"/>
              <w:bottom w:val="single" w:color="000000" w:sz="4" w:space="0"/>
              <w:right w:val="single" w:color="000000" w:sz="4" w:space="0"/>
            </w:tcBorders>
            <w:vAlign w:val="center"/>
          </w:tcPr>
          <w:p>
            <w:pPr>
              <w:pStyle w:val="28"/>
              <w:spacing w:before="111" w:beforeAutospacing="0" w:after="0" w:afterAutospacing="0"/>
              <w:jc w:val="center"/>
            </w:pPr>
            <w:r>
              <w:rPr>
                <w:rFonts w:hint="eastAsia"/>
                <w:sz w:val="21"/>
                <w:szCs w:val="22"/>
              </w:rPr>
              <w:t>项目</w:t>
            </w:r>
          </w:p>
        </w:tc>
        <w:tc>
          <w:tcPr>
            <w:tcW w:w="3233" w:type="dxa"/>
            <w:gridSpan w:val="2"/>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学时</w:t>
            </w:r>
          </w:p>
        </w:tc>
        <w:tc>
          <w:tcPr>
            <w:tcW w:w="2835" w:type="dxa"/>
            <w:gridSpan w:val="2"/>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数量</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占总学时比例（</w:t>
            </w:r>
            <w:r>
              <w:rPr>
                <w:rFonts w:ascii="Times New Roman" w:hAnsi="Noto Sans Mono CJK JP Regular" w:eastAsia="Times New Roman" w:cs="Noto Sans Mono CJK JP Regular"/>
                <w:b/>
                <w:sz w:val="21"/>
                <w:szCs w:val="22"/>
              </w:rPr>
              <w:t>%</w:t>
            </w:r>
            <w:r>
              <w:rPr>
                <w:rFonts w:hint="eastAsia"/>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hint="eastAsia"/>
                <w:sz w:val="21"/>
                <w:szCs w:val="22"/>
              </w:rPr>
              <w:t>数量</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占总学分比例（</w:t>
            </w:r>
            <w:r>
              <w:rPr>
                <w:rFonts w:ascii="Times New Roman" w:hAnsi="Noto Sans Mono CJK JP Regular" w:eastAsia="Times New Roman" w:cs="Noto Sans Mono CJK JP Regular"/>
                <w:b/>
                <w:sz w:val="21"/>
                <w:szCs w:val="22"/>
              </w:rPr>
              <w:t>%</w:t>
            </w:r>
            <w:r>
              <w:rPr>
                <w:rFonts w:hint="eastAsia"/>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28"/>
              <w:jc w:val="center"/>
            </w:pPr>
            <w:bookmarkStart w:id="18" w:name="OLE_LINK10"/>
            <w:r>
              <w:rPr>
                <w:rFonts w:hint="eastAsia"/>
                <w:sz w:val="21"/>
                <w:szCs w:val="22"/>
              </w:rPr>
              <w:t>理论教学</w:t>
            </w:r>
            <w:bookmarkEnd w:id="18"/>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2070</w:t>
            </w:r>
            <w:bookmarkStart w:id="19" w:name="OLE_LINK8"/>
            <w:bookmarkEnd w:id="19"/>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59.21</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120.38</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75.71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hint="eastAsia"/>
                <w:sz w:val="21"/>
                <w:szCs w:val="22"/>
              </w:rPr>
              <w:t>实验教学</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1426</w:t>
            </w:r>
            <w:bookmarkStart w:id="20" w:name="OLE_LINK9"/>
            <w:bookmarkEnd w:id="20"/>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40.79</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6.62</w:t>
            </w:r>
            <w:bookmarkStart w:id="21" w:name="OLE_LINK11"/>
            <w:bookmarkEnd w:id="21"/>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4.16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hint="eastAsia"/>
                <w:sz w:val="21"/>
                <w:szCs w:val="22"/>
              </w:rPr>
              <w:t>集中性实践教学环节</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pPr>
            <w:r>
              <w:rPr>
                <w:rFonts w:ascii="Times New Roman" w:hAnsi="Noto Sans Mono CJK JP Regular" w:cs="Noto Sans Mono CJK JP Regular"/>
                <w:b/>
                <w:sz w:val="21"/>
                <w:szCs w:val="22"/>
              </w:rPr>
              <w:t>/</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pPr>
            <w:r>
              <w:rPr>
                <w:rFonts w:ascii="Times New Roman" w:hAnsi="Noto Sans Mono CJK JP Regular" w:cs="Noto Sans Mono CJK JP Regular"/>
                <w:b/>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28</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17.61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hint="eastAsia"/>
                <w:sz w:val="21"/>
                <w:szCs w:val="22"/>
              </w:rPr>
              <w:t>课外科技活动</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pPr>
            <w:r>
              <w:rPr>
                <w:rFonts w:ascii="Times New Roman" w:hAnsi="Noto Sans Mono CJK JP Regular" w:cs="Noto Sans Mono CJK JP Regular"/>
                <w:b/>
                <w:sz w:val="21"/>
                <w:szCs w:val="22"/>
              </w:rPr>
              <w:t>/</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pPr>
            <w:r>
              <w:rPr>
                <w:rFonts w:ascii="Times New Roman" w:hAnsi="Noto Sans Mono CJK JP Regular" w:cs="Noto Sans Mono CJK JP Regular"/>
                <w:b/>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4</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合计</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3496</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pPr>
            <w:r>
              <w:rPr>
                <w:rFonts w:ascii="Times New Roman" w:hAnsi="Noto Sans Mono CJK JP Regular" w:cs="Noto Sans Mono CJK JP Regular"/>
                <w:b/>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159</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pPr>
            <w:r>
              <w:rPr>
                <w:rFonts w:ascii="Times New Roman" w:hAnsi="Noto Sans Mono CJK JP Regular" w:cs="Noto Sans Mono CJK JP Regular"/>
                <w:b/>
                <w:sz w:val="21"/>
                <w:szCs w:val="22"/>
              </w:rPr>
              <w:t>--</w:t>
            </w:r>
          </w:p>
        </w:tc>
      </w:tr>
    </w:tbl>
    <w:p/>
    <w:p>
      <w:r>
        <w:rPr>
          <w:rFonts w:hint="eastAsia"/>
        </w:rPr>
        <w:t>※以上数据来源：表</w:t>
      </w:r>
      <w:r>
        <w:t xml:space="preserve"> 4-2 专业培养计划表。</w:t>
      </w:r>
    </w:p>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课程体系结构和学分学时分配。经过多年建设改进，本专业课程体系结构比较合理，学分学时分配比较科学，人文类专业实践教学占总学分（学时）不低于</w:t>
      </w:r>
      <w:r>
        <w:rPr>
          <w:color w:val="000000" w:themeColor="text1"/>
          <w14:textFill>
            <w14:solidFill>
              <w14:schemeClr w14:val="tx1"/>
            </w14:solidFill>
          </w14:textFill>
        </w:rPr>
        <w:t>15%、理工农医类专业实践教学占总学分（学时）不低于25%，达到相应专业类教学质量国家标准要求；公共艺术课程学分数≥2学分，</w:t>
      </w:r>
      <w:r>
        <w:rPr>
          <w:rFonts w:hint="eastAsia"/>
          <w:color w:val="000000" w:themeColor="text1"/>
          <w14:textFill>
            <w14:solidFill>
              <w14:schemeClr w14:val="tx1"/>
            </w14:solidFill>
          </w14:textFill>
        </w:rPr>
        <w:t>创新思维与创业教育≥</w:t>
      </w:r>
      <w:r>
        <w:rPr>
          <w:color w:val="000000" w:themeColor="text1"/>
          <w14:textFill>
            <w14:solidFill>
              <w14:schemeClr w14:val="tx1"/>
            </w14:solidFill>
          </w14:textFill>
        </w:rPr>
        <w:t>1学分，</w:t>
      </w:r>
      <w:r>
        <w:rPr>
          <w:rFonts w:hint="eastAsia"/>
          <w:color w:val="000000" w:themeColor="text1"/>
          <w14:textFill>
            <w14:solidFill>
              <w14:schemeClr w14:val="tx1"/>
            </w14:solidFill>
          </w14:textFill>
        </w:rPr>
        <w:t>历史文化与人文情怀、社会发展与国际视野、哲学智慧与工程伦理、科学素养与科技探索等≥</w:t>
      </w:r>
      <w:r>
        <w:rPr>
          <w:color w:val="000000" w:themeColor="text1"/>
          <w14:textFill>
            <w14:solidFill>
              <w14:schemeClr w14:val="tx1"/>
            </w14:solidFill>
          </w14:textFill>
        </w:rPr>
        <w:t>4学分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劳动教育必修课或必修课程中劳动教育模块学时总数≥32学时。按照专业培养方案开设课程,其中的专业选修课开出率不小于90%</w:t>
      </w:r>
      <w:r>
        <w:rPr>
          <w:rFonts w:hint="eastAsia"/>
          <w:color w:val="000000" w:themeColor="text1"/>
          <w14:textFill>
            <w14:solidFill>
              <w14:schemeClr w14:val="tx1"/>
            </w14:solidFill>
          </w14:textFill>
        </w:rPr>
        <w:t>，达到</w:t>
      </w:r>
      <w:r>
        <w:rPr>
          <w:color w:val="000000" w:themeColor="text1"/>
          <w14:textFill>
            <w14:solidFill>
              <w14:schemeClr w14:val="tx1"/>
            </w14:solidFill>
          </w14:textFill>
        </w:rPr>
        <w:t>92.3%。</w:t>
      </w:r>
    </w:p>
    <w:p>
      <w:pPr>
        <w:snapToGrid w:val="0"/>
        <w:spacing w:line="360" w:lineRule="auto"/>
        <w:ind w:firstLine="480" w:firstLineChars="200"/>
        <w:jc w:val="both"/>
        <w:rPr>
          <w:color w:val="FF0000"/>
        </w:rPr>
      </w:pPr>
      <w:r>
        <w:rPr>
          <w:rFonts w:hint="eastAsia"/>
          <w:color w:val="000000" w:themeColor="text1"/>
          <w14:textFill>
            <w14:solidFill>
              <w14:schemeClr w14:val="tx1"/>
            </w14:solidFill>
          </w14:textFill>
        </w:rPr>
        <w:t>根据完全学分制要求，专业课程设置实行“整件制”培养模式。课程体系分为四个课程模块和六个实践环节。专业课程模块包括通识教育课程教学模块、学科基础平台课教学模块、专业课教学模块、实践模块，各占比</w:t>
      </w:r>
      <w:r>
        <w:rPr>
          <w:color w:val="000000" w:themeColor="text1"/>
          <w14:textFill>
            <w14:solidFill>
              <w14:schemeClr w14:val="tx1"/>
            </w14:solidFill>
          </w14:textFill>
        </w:rPr>
        <w:t>35.6%、26.9%、17.5%、17.5%</w:t>
      </w:r>
      <w:r>
        <w:rPr>
          <w:rFonts w:hint="eastAsia"/>
          <w:color w:val="000000" w:themeColor="text1"/>
          <w14:textFill>
            <w14:solidFill>
              <w14:schemeClr w14:val="tx1"/>
            </w14:solidFill>
          </w14:textFill>
        </w:rPr>
        <w:t>。</w:t>
      </w:r>
    </w:p>
    <w:p>
      <w:pPr>
        <w:snapToGrid w:val="0"/>
        <w:spacing w:line="360" w:lineRule="auto"/>
        <w:ind w:firstLine="480" w:firstLineChars="200"/>
        <w:jc w:val="both"/>
        <w:rPr>
          <w:color w:val="FF0000"/>
        </w:rPr>
      </w:pPr>
    </w:p>
    <w:p>
      <w:pPr>
        <w:snapToGrid w:val="0"/>
        <w:spacing w:line="360" w:lineRule="auto"/>
        <w:ind w:firstLine="480" w:firstLineChars="200"/>
        <w:jc w:val="both"/>
        <w:rPr>
          <w:color w:val="FF0000"/>
        </w:rPr>
      </w:pPr>
    </w:p>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3.2.2</w:t>
      </w:r>
      <w:bookmarkStart w:id="22" w:name="OLE_LINK12"/>
      <w:r>
        <w:rPr>
          <w:rFonts w:ascii="宋体" w:hAnsi="宋体" w:eastAsia="宋体" w:cstheme="minorBidi"/>
          <w:b w:val="0"/>
          <w:bCs w:val="0"/>
          <w:kern w:val="2"/>
          <w:sz w:val="24"/>
          <w:szCs w:val="24"/>
        </w:rPr>
        <w:t>课程实施情况表</w:t>
      </w:r>
      <w:bookmarkEnd w:id="22"/>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8"/>
        <w:gridCol w:w="1029"/>
        <w:gridCol w:w="1789"/>
        <w:gridCol w:w="1195"/>
        <w:gridCol w:w="17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vMerge w:val="restart"/>
            <w:tcBorders>
              <w:top w:val="single" w:color="000000" w:sz="4" w:space="0"/>
              <w:left w:val="single" w:color="000000" w:sz="4" w:space="0"/>
              <w:bottom w:val="single" w:color="000000" w:sz="4" w:space="0"/>
              <w:right w:val="single" w:color="000000" w:sz="4" w:space="0"/>
            </w:tcBorders>
            <w:vAlign w:val="center"/>
          </w:tcPr>
          <w:p>
            <w:pPr>
              <w:pStyle w:val="28"/>
              <w:spacing w:before="111" w:beforeAutospacing="0" w:after="0" w:afterAutospacing="0"/>
              <w:jc w:val="center"/>
            </w:pPr>
            <w:r>
              <w:rPr>
                <w:rFonts w:hint="eastAsia"/>
                <w:sz w:val="21"/>
                <w:szCs w:val="22"/>
              </w:rPr>
              <w:t>项目</w:t>
            </w:r>
          </w:p>
        </w:tc>
        <w:tc>
          <w:tcPr>
            <w:tcW w:w="2812" w:type="dxa"/>
            <w:gridSpan w:val="2"/>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学时</w:t>
            </w:r>
          </w:p>
        </w:tc>
        <w:tc>
          <w:tcPr>
            <w:tcW w:w="2972" w:type="dxa"/>
            <w:gridSpan w:val="2"/>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hint="eastAsia"/>
                <w:sz w:val="21"/>
                <w:szCs w:val="22"/>
              </w:rPr>
              <w:t>数量</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hint="eastAsia"/>
                <w:sz w:val="21"/>
                <w:szCs w:val="22"/>
              </w:rPr>
              <w:t>占总开课学时比例（</w:t>
            </w:r>
            <w:r>
              <w:rPr>
                <w:rFonts w:ascii="Times New Roman" w:hAnsi="Noto Sans Mono CJK JP Regular" w:eastAsia="Times New Roman" w:cs="Noto Sans Mono CJK JP Regular"/>
                <w:b/>
                <w:sz w:val="21"/>
                <w:szCs w:val="22"/>
              </w:rPr>
              <w:t>%</w:t>
            </w:r>
            <w:r>
              <w:rPr>
                <w:rFonts w:hint="eastAsia"/>
                <w:sz w:val="21"/>
                <w:szCs w:val="22"/>
              </w:rPr>
              <w:t>）</w:t>
            </w:r>
          </w:p>
        </w:tc>
        <w:tc>
          <w:tcPr>
            <w:tcW w:w="1192"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hint="eastAsia"/>
                <w:sz w:val="21"/>
                <w:szCs w:val="22"/>
              </w:rPr>
              <w:t>数量</w:t>
            </w:r>
          </w:p>
        </w:tc>
        <w:tc>
          <w:tcPr>
            <w:tcW w:w="178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hint="eastAsia"/>
                <w:sz w:val="21"/>
                <w:szCs w:val="22"/>
              </w:rPr>
              <w:t>占总开课学分比例（</w:t>
            </w:r>
            <w:r>
              <w:rPr>
                <w:rFonts w:ascii="Times New Roman" w:hAnsi="Noto Sans Mono CJK JP Regular" w:eastAsia="Times New Roman" w:cs="Noto Sans Mono CJK JP Regular"/>
                <w:b/>
                <w:sz w:val="21"/>
                <w:szCs w:val="22"/>
              </w:rPr>
              <w:t>%</w:t>
            </w:r>
            <w:r>
              <w:rPr>
                <w:rFonts w:hint="eastAsia"/>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bookmarkStart w:id="23" w:name="OLE_LINK13"/>
            <w:r>
              <w:rPr>
                <w:rFonts w:hint="eastAsia"/>
                <w:sz w:val="21"/>
                <w:szCs w:val="22"/>
              </w:rPr>
              <w:t>专业必修课</w:t>
            </w:r>
            <w:bookmarkEnd w:id="23"/>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3968</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59.47</w:t>
            </w:r>
          </w:p>
        </w:tc>
        <w:tc>
          <w:tcPr>
            <w:tcW w:w="1192"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248</w:t>
            </w:r>
          </w:p>
        </w:tc>
        <w:tc>
          <w:tcPr>
            <w:tcW w:w="178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59.47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专业选修课</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2704</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40.53</w:t>
            </w:r>
          </w:p>
        </w:tc>
        <w:tc>
          <w:tcPr>
            <w:tcW w:w="1192"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169</w:t>
            </w:r>
          </w:p>
        </w:tc>
        <w:tc>
          <w:tcPr>
            <w:tcW w:w="1780"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40.53</w:t>
            </w:r>
          </w:p>
        </w:tc>
      </w:tr>
    </w:tbl>
    <w:p/>
    <w:p>
      <w:r>
        <w:rPr>
          <w:rFonts w:hint="eastAsia"/>
        </w:rPr>
        <w:t>※以上数据来源：表</w:t>
      </w:r>
      <w:r>
        <w:t xml:space="preserve"> 5-1-1开课情况、表 5-1-2 专业课教学实施情况。</w:t>
      </w:r>
    </w:p>
    <w:p>
      <w:pPr>
        <w:snapToGrid w:val="0"/>
        <w:spacing w:line="360" w:lineRule="auto"/>
        <w:ind w:firstLine="480" w:firstLineChars="200"/>
      </w:pP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专业必修课包括：中国管理学概论、东西方哲学思想比较、企业文化、管理决策模型与方法、管理心理学、现代企业形象设计、经济学名著选读、生产运营管理、管理学名著选读、中国古典名著精读等十门，共计十九学分。</w:t>
      </w:r>
    </w:p>
    <w:p>
      <w:pPr>
        <w:snapToGrid w:val="0"/>
        <w:spacing w:line="360" w:lineRule="auto"/>
        <w:ind w:firstLine="480" w:firstLineChars="200"/>
        <w:jc w:val="both"/>
      </w:pPr>
      <w:r>
        <w:rPr>
          <w:rFonts w:hint="eastAsia"/>
          <w:color w:val="000000" w:themeColor="text1"/>
          <w14:textFill>
            <w14:solidFill>
              <w14:schemeClr w14:val="tx1"/>
            </w14:solidFill>
          </w14:textFill>
        </w:rPr>
        <w:t>专业选修课包括：管理文秘、欧美企业管理案例研究、亚洲企业管理案例研究、社交礼仪、学术论文写作基础、战略管理案例研究、公司治理、东方营销学等八门课程，共计十五学分，应修十二学分。</w:t>
      </w:r>
    </w:p>
    <w:p>
      <w:pPr>
        <w:pStyle w:val="4"/>
        <w:rPr>
          <w:rFonts w:ascii="宋体" w:hAnsi="宋体" w:eastAsia="宋体"/>
          <w:b w:val="0"/>
          <w:bCs w:val="0"/>
          <w:sz w:val="24"/>
          <w:szCs w:val="24"/>
        </w:rPr>
      </w:pPr>
      <w:bookmarkStart w:id="24" w:name="_Toc155617881"/>
      <w:r>
        <w:rPr>
          <w:rFonts w:ascii="宋体" w:hAnsi="宋体" w:eastAsia="宋体"/>
          <w:b w:val="0"/>
          <w:bCs w:val="0"/>
          <w:sz w:val="24"/>
          <w:szCs w:val="24"/>
        </w:rPr>
        <w:t>3.3</w:t>
      </w:r>
      <w:r>
        <w:rPr>
          <w:rFonts w:hint="eastAsia" w:ascii="宋体" w:hAnsi="宋体" w:eastAsia="宋体"/>
          <w:b w:val="0"/>
          <w:bCs w:val="0"/>
          <w:sz w:val="24"/>
          <w:szCs w:val="24"/>
        </w:rPr>
        <w:t>专业课开设情况</w:t>
      </w:r>
      <w:bookmarkEnd w:id="24"/>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37"/>
        <w:gridCol w:w="2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项目</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课程门数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课程总门次数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8"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sz w:val="21"/>
                <w:szCs w:val="22"/>
              </w:rPr>
            </w:pPr>
            <w:r>
              <w:rPr>
                <w:rFonts w:hint="eastAsia"/>
                <w:sz w:val="21"/>
                <w:szCs w:val="22"/>
              </w:rPr>
              <w:t>开设全外语课程门次数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pPr>
            <w:r>
              <w:rPr>
                <w:rFonts w:hint="eastAsia"/>
                <w:sz w:val="21"/>
                <w:szCs w:val="22"/>
              </w:rPr>
              <w:t>开设双语课程门次数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28"/>
              <w:jc w:val="center"/>
            </w:pPr>
            <w:r>
              <w:rPr>
                <w:rFonts w:ascii="Times New Roman" w:hAnsi="Noto Sans Mono CJK JP Regular" w:cs="Noto Sans Mono CJK JP Regular"/>
                <w:sz w:val="20"/>
                <w:szCs w:val="22"/>
              </w:rPr>
              <w:t>0</w:t>
            </w:r>
          </w:p>
        </w:tc>
      </w:tr>
    </w:tbl>
    <w:p/>
    <w:p>
      <w:r>
        <w:rPr>
          <w:rFonts w:hint="eastAsia"/>
        </w:rPr>
        <w:t>※以上数据来源：表</w:t>
      </w:r>
      <w:r>
        <w:t xml:space="preserve"> 5-1-1开课情况、表 5-1-2 专业课教学实施情况。</w:t>
      </w:r>
    </w:p>
    <w:p/>
    <w:p>
      <w:pPr>
        <w:pStyle w:val="4"/>
        <w:rPr>
          <w:rFonts w:ascii="宋体" w:hAnsi="宋体" w:eastAsia="宋体"/>
          <w:b w:val="0"/>
          <w:bCs w:val="0"/>
          <w:sz w:val="24"/>
          <w:szCs w:val="24"/>
        </w:rPr>
      </w:pPr>
      <w:bookmarkStart w:id="25" w:name="_Toc155617882"/>
      <w:r>
        <w:rPr>
          <w:rFonts w:ascii="宋体" w:hAnsi="宋体" w:eastAsia="宋体"/>
          <w:b w:val="0"/>
          <w:bCs w:val="0"/>
          <w:sz w:val="24"/>
          <w:szCs w:val="24"/>
        </w:rPr>
        <w:t>3.4专业课课堂规模</w:t>
      </w:r>
      <w:bookmarkEnd w:id="25"/>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367"/>
        <w:gridCol w:w="1444"/>
        <w:gridCol w:w="1674"/>
        <w:gridCol w:w="167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jc w:val="center"/>
              <w:rPr>
                <w:sz w:val="21"/>
                <w:szCs w:val="21"/>
              </w:rPr>
            </w:pPr>
          </w:p>
        </w:tc>
        <w:tc>
          <w:tcPr>
            <w:tcW w:w="802" w:type="pct"/>
            <w:vAlign w:val="center"/>
          </w:tcPr>
          <w:p>
            <w:pPr>
              <w:jc w:val="center"/>
              <w:rPr>
                <w:sz w:val="21"/>
                <w:szCs w:val="21"/>
              </w:rPr>
            </w:pPr>
            <w:r>
              <w:rPr>
                <w:rFonts w:hint="eastAsia"/>
                <w:sz w:val="21"/>
                <w:szCs w:val="21"/>
              </w:rPr>
              <w:t>平均规模</w:t>
            </w:r>
          </w:p>
        </w:tc>
        <w:tc>
          <w:tcPr>
            <w:tcW w:w="847" w:type="pct"/>
            <w:vAlign w:val="center"/>
          </w:tcPr>
          <w:p>
            <w:pPr>
              <w:jc w:val="center"/>
              <w:rPr>
                <w:sz w:val="21"/>
                <w:szCs w:val="21"/>
              </w:rPr>
            </w:pPr>
            <w:r>
              <w:rPr>
                <w:rFonts w:hint="eastAsia"/>
                <w:sz w:val="21"/>
                <w:szCs w:val="21"/>
              </w:rPr>
              <w:t>3</w:t>
            </w:r>
            <w:r>
              <w:rPr>
                <w:sz w:val="21"/>
                <w:szCs w:val="21"/>
              </w:rPr>
              <w:t>0</w:t>
            </w:r>
            <w:r>
              <w:rPr>
                <w:rFonts w:hint="eastAsia"/>
                <w:sz w:val="21"/>
                <w:szCs w:val="21"/>
              </w:rPr>
              <w:t>人及以下</w:t>
            </w:r>
          </w:p>
        </w:tc>
        <w:tc>
          <w:tcPr>
            <w:tcW w:w="982" w:type="pct"/>
            <w:vAlign w:val="center"/>
          </w:tcPr>
          <w:p>
            <w:pPr>
              <w:jc w:val="center"/>
              <w:rPr>
                <w:sz w:val="21"/>
                <w:szCs w:val="21"/>
              </w:rPr>
            </w:pPr>
            <w:r>
              <w:rPr>
                <w:rFonts w:hint="eastAsia"/>
                <w:sz w:val="21"/>
                <w:szCs w:val="21"/>
              </w:rPr>
              <w:t>3</w:t>
            </w:r>
            <w:r>
              <w:rPr>
                <w:sz w:val="21"/>
                <w:szCs w:val="21"/>
              </w:rPr>
              <w:t>1-60</w:t>
            </w:r>
            <w:r>
              <w:rPr>
                <w:rFonts w:hint="eastAsia"/>
                <w:sz w:val="21"/>
                <w:szCs w:val="21"/>
              </w:rPr>
              <w:t>人</w:t>
            </w:r>
          </w:p>
        </w:tc>
        <w:tc>
          <w:tcPr>
            <w:tcW w:w="982" w:type="pct"/>
            <w:vAlign w:val="center"/>
          </w:tcPr>
          <w:p>
            <w:pPr>
              <w:jc w:val="center"/>
              <w:rPr>
                <w:sz w:val="21"/>
                <w:szCs w:val="21"/>
              </w:rPr>
            </w:pPr>
            <w:r>
              <w:rPr>
                <w:sz w:val="21"/>
                <w:szCs w:val="21"/>
              </w:rPr>
              <w:t>61-90</w:t>
            </w:r>
            <w:r>
              <w:rPr>
                <w:rFonts w:hint="eastAsia"/>
                <w:sz w:val="21"/>
                <w:szCs w:val="21"/>
              </w:rPr>
              <w:t>人</w:t>
            </w:r>
          </w:p>
        </w:tc>
        <w:tc>
          <w:tcPr>
            <w:tcW w:w="847" w:type="pct"/>
            <w:vAlign w:val="center"/>
          </w:tcPr>
          <w:p>
            <w:pPr>
              <w:jc w:val="center"/>
              <w:rPr>
                <w:sz w:val="21"/>
                <w:szCs w:val="21"/>
              </w:rPr>
            </w:pPr>
            <w:r>
              <w:rPr>
                <w:sz w:val="21"/>
                <w:szCs w:val="21"/>
              </w:rPr>
              <w:t>90</w:t>
            </w:r>
            <w:r>
              <w:rPr>
                <w:rFonts w:hint="eastAsia"/>
                <w:sz w:val="21"/>
                <w:szCs w:val="21"/>
              </w:rPr>
              <w:t>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jc w:val="center"/>
              <w:rPr>
                <w:sz w:val="21"/>
                <w:szCs w:val="21"/>
              </w:rPr>
            </w:pPr>
            <w:r>
              <w:rPr>
                <w:rFonts w:hint="eastAsia"/>
                <w:sz w:val="21"/>
                <w:szCs w:val="21"/>
              </w:rPr>
              <w:t>数量</w:t>
            </w:r>
          </w:p>
        </w:tc>
        <w:tc>
          <w:tcPr>
            <w:tcW w:w="802" w:type="pct"/>
            <w:vAlign w:val="center"/>
          </w:tcPr>
          <w:p>
            <w:pPr>
              <w:jc w:val="center"/>
              <w:rPr>
                <w:sz w:val="21"/>
                <w:szCs w:val="21"/>
              </w:rPr>
            </w:pPr>
            <w:r>
              <w:rPr>
                <w:sz w:val="21"/>
                <w:szCs w:val="21"/>
              </w:rPr>
              <w:t>69.06</w:t>
            </w:r>
          </w:p>
        </w:tc>
        <w:tc>
          <w:tcPr>
            <w:tcW w:w="847" w:type="pct"/>
            <w:vAlign w:val="center"/>
          </w:tcPr>
          <w:p>
            <w:pPr>
              <w:jc w:val="center"/>
              <w:rPr>
                <w:sz w:val="21"/>
                <w:szCs w:val="21"/>
              </w:rPr>
            </w:pPr>
            <w:r>
              <w:rPr>
                <w:sz w:val="21"/>
                <w:szCs w:val="21"/>
              </w:rPr>
              <w:t>26</w:t>
            </w:r>
            <w:bookmarkStart w:id="26" w:name="OLE_LINK14"/>
            <w:bookmarkEnd w:id="26"/>
          </w:p>
        </w:tc>
        <w:tc>
          <w:tcPr>
            <w:tcW w:w="982" w:type="pct"/>
            <w:vAlign w:val="center"/>
          </w:tcPr>
          <w:p>
            <w:pPr>
              <w:jc w:val="center"/>
              <w:rPr>
                <w:sz w:val="21"/>
                <w:szCs w:val="21"/>
              </w:rPr>
            </w:pPr>
            <w:r>
              <w:rPr>
                <w:sz w:val="21"/>
                <w:szCs w:val="21"/>
              </w:rPr>
              <w:t>55</w:t>
            </w:r>
            <w:bookmarkStart w:id="27" w:name="OLE_LINK15"/>
            <w:bookmarkEnd w:id="27"/>
          </w:p>
        </w:tc>
        <w:tc>
          <w:tcPr>
            <w:tcW w:w="982" w:type="pct"/>
            <w:vAlign w:val="center"/>
          </w:tcPr>
          <w:p>
            <w:pPr>
              <w:jc w:val="center"/>
              <w:rPr>
                <w:sz w:val="21"/>
                <w:szCs w:val="21"/>
              </w:rPr>
            </w:pPr>
            <w:r>
              <w:rPr>
                <w:sz w:val="21"/>
                <w:szCs w:val="21"/>
              </w:rPr>
              <w:t>62</w:t>
            </w:r>
          </w:p>
        </w:tc>
        <w:tc>
          <w:tcPr>
            <w:tcW w:w="847" w:type="pct"/>
            <w:vAlign w:val="center"/>
          </w:tcPr>
          <w:p>
            <w:pPr>
              <w:jc w:val="center"/>
              <w:rPr>
                <w:sz w:val="21"/>
                <w:szCs w:val="21"/>
              </w:rPr>
            </w:pPr>
            <w:r>
              <w:rPr>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jc w:val="center"/>
              <w:rPr>
                <w:sz w:val="21"/>
                <w:szCs w:val="21"/>
              </w:rPr>
            </w:pPr>
            <w:r>
              <w:rPr>
                <w:rFonts w:hint="eastAsia"/>
                <w:sz w:val="21"/>
                <w:szCs w:val="21"/>
              </w:rPr>
              <w:t>比例（%）</w:t>
            </w:r>
          </w:p>
        </w:tc>
        <w:tc>
          <w:tcPr>
            <w:tcW w:w="802" w:type="pct"/>
            <w:vAlign w:val="center"/>
          </w:tcPr>
          <w:p>
            <w:pPr>
              <w:jc w:val="center"/>
              <w:rPr>
                <w:sz w:val="21"/>
                <w:szCs w:val="21"/>
              </w:rPr>
            </w:pPr>
            <w:r>
              <w:rPr>
                <w:rFonts w:hint="eastAsia"/>
                <w:sz w:val="21"/>
                <w:szCs w:val="21"/>
              </w:rPr>
              <w:t>/</w:t>
            </w:r>
          </w:p>
        </w:tc>
        <w:tc>
          <w:tcPr>
            <w:tcW w:w="847" w:type="pct"/>
            <w:vAlign w:val="center"/>
          </w:tcPr>
          <w:p>
            <w:pPr>
              <w:jc w:val="center"/>
              <w:rPr>
                <w:sz w:val="21"/>
                <w:szCs w:val="21"/>
              </w:rPr>
            </w:pPr>
            <w:r>
              <w:rPr>
                <w:sz w:val="21"/>
                <w:szCs w:val="21"/>
              </w:rPr>
              <w:t>13.76</w:t>
            </w:r>
          </w:p>
        </w:tc>
        <w:tc>
          <w:tcPr>
            <w:tcW w:w="982" w:type="pct"/>
            <w:vAlign w:val="center"/>
          </w:tcPr>
          <w:p>
            <w:pPr>
              <w:jc w:val="center"/>
              <w:rPr>
                <w:sz w:val="21"/>
                <w:szCs w:val="21"/>
              </w:rPr>
            </w:pPr>
            <w:r>
              <w:rPr>
                <w:sz w:val="21"/>
                <w:szCs w:val="21"/>
              </w:rPr>
              <w:t>29.1</w:t>
            </w:r>
            <w:bookmarkStart w:id="28" w:name="OLE_LINK16"/>
            <w:bookmarkEnd w:id="28"/>
          </w:p>
        </w:tc>
        <w:tc>
          <w:tcPr>
            <w:tcW w:w="982" w:type="pct"/>
            <w:vAlign w:val="center"/>
          </w:tcPr>
          <w:p>
            <w:pPr>
              <w:jc w:val="center"/>
              <w:rPr>
                <w:sz w:val="21"/>
                <w:szCs w:val="21"/>
              </w:rPr>
            </w:pPr>
            <w:r>
              <w:rPr>
                <w:sz w:val="21"/>
                <w:szCs w:val="21"/>
              </w:rPr>
              <w:t>32.8</w:t>
            </w:r>
          </w:p>
        </w:tc>
        <w:tc>
          <w:tcPr>
            <w:tcW w:w="847" w:type="pct"/>
            <w:vAlign w:val="center"/>
          </w:tcPr>
          <w:p>
            <w:pPr>
              <w:jc w:val="center"/>
              <w:rPr>
                <w:sz w:val="21"/>
                <w:szCs w:val="21"/>
              </w:rPr>
            </w:pPr>
            <w:r>
              <w:rPr>
                <w:sz w:val="21"/>
                <w:szCs w:val="21"/>
              </w:rPr>
              <w:t>24.34</w:t>
            </w:r>
            <w:bookmarkStart w:id="29" w:name="OLE_LINK17"/>
            <w:bookmarkEnd w:id="29"/>
          </w:p>
        </w:tc>
      </w:tr>
    </w:tbl>
    <w:p/>
    <w:p>
      <w:r>
        <w:rPr>
          <w:rFonts w:hint="eastAsia"/>
        </w:rPr>
        <w:t>※以上数据来源：表</w:t>
      </w:r>
      <w:r>
        <w:t xml:space="preserve"> 5-1-1开课情况、表 5-1-2 专业课教学实施情况。</w:t>
      </w:r>
    </w:p>
    <w:p/>
    <w:p>
      <w:pPr>
        <w:pStyle w:val="4"/>
        <w:rPr>
          <w:rFonts w:ascii="宋体" w:hAnsi="宋体" w:eastAsia="宋体"/>
          <w:b w:val="0"/>
          <w:bCs w:val="0"/>
          <w:sz w:val="24"/>
          <w:szCs w:val="24"/>
        </w:rPr>
      </w:pPr>
      <w:bookmarkStart w:id="30" w:name="_Toc155617883"/>
      <w:r>
        <w:rPr>
          <w:rFonts w:ascii="宋体" w:hAnsi="宋体" w:eastAsia="宋体"/>
          <w:b w:val="0"/>
          <w:bCs w:val="0"/>
          <w:sz w:val="24"/>
          <w:szCs w:val="24"/>
        </w:rPr>
        <w:t>3.5专业的核心课程情况</w:t>
      </w:r>
      <w:bookmarkEnd w:id="30"/>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057"/>
        <w:gridCol w:w="1185"/>
        <w:gridCol w:w="1185"/>
        <w:gridCol w:w="1185"/>
        <w:gridCol w:w="1185"/>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pPr>
            <w:r>
              <w:rPr>
                <w:rFonts w:hint="eastAsia"/>
                <w:sz w:val="21"/>
                <w:szCs w:val="22"/>
              </w:rPr>
              <w:t>课程名称</w:t>
            </w:r>
          </w:p>
        </w:tc>
        <w:tc>
          <w:tcPr>
            <w:tcW w:w="1057" w:type="dxa"/>
            <w:vAlign w:val="center"/>
          </w:tcPr>
          <w:p>
            <w:pPr>
              <w:jc w:val="center"/>
            </w:pPr>
            <w:r>
              <w:rPr>
                <w:rFonts w:hint="eastAsia"/>
                <w:sz w:val="21"/>
                <w:szCs w:val="22"/>
              </w:rPr>
              <w:t>课程号</w:t>
            </w:r>
          </w:p>
        </w:tc>
        <w:tc>
          <w:tcPr>
            <w:tcW w:w="1185" w:type="dxa"/>
            <w:vAlign w:val="center"/>
          </w:tcPr>
          <w:p>
            <w:pPr>
              <w:jc w:val="center"/>
            </w:pPr>
            <w:r>
              <w:rPr>
                <w:rFonts w:hint="eastAsia"/>
                <w:sz w:val="21"/>
                <w:szCs w:val="22"/>
              </w:rPr>
              <w:t>课程性质</w:t>
            </w:r>
          </w:p>
        </w:tc>
        <w:tc>
          <w:tcPr>
            <w:tcW w:w="1185" w:type="dxa"/>
            <w:vAlign w:val="center"/>
          </w:tcPr>
          <w:p>
            <w:pPr>
              <w:jc w:val="center"/>
            </w:pPr>
            <w:r>
              <w:rPr>
                <w:rFonts w:hint="eastAsia"/>
                <w:sz w:val="21"/>
                <w:szCs w:val="22"/>
              </w:rPr>
              <w:t>课程类别</w:t>
            </w:r>
          </w:p>
        </w:tc>
        <w:tc>
          <w:tcPr>
            <w:tcW w:w="1185" w:type="dxa"/>
            <w:vAlign w:val="center"/>
          </w:tcPr>
          <w:p>
            <w:pPr>
              <w:jc w:val="center"/>
            </w:pPr>
            <w:r>
              <w:rPr>
                <w:rFonts w:hint="eastAsia"/>
                <w:sz w:val="21"/>
                <w:szCs w:val="22"/>
              </w:rPr>
              <w:t>学分数</w:t>
            </w:r>
          </w:p>
        </w:tc>
        <w:tc>
          <w:tcPr>
            <w:tcW w:w="1185" w:type="dxa"/>
            <w:vAlign w:val="center"/>
          </w:tcPr>
          <w:p>
            <w:pPr>
              <w:jc w:val="center"/>
            </w:pPr>
            <w:r>
              <w:rPr>
                <w:rFonts w:hint="eastAsia"/>
                <w:sz w:val="21"/>
                <w:szCs w:val="22"/>
              </w:rPr>
              <w:t>学时数</w:t>
            </w:r>
          </w:p>
        </w:tc>
        <w:tc>
          <w:tcPr>
            <w:tcW w:w="1186" w:type="dxa"/>
            <w:vAlign w:val="center"/>
          </w:tcPr>
          <w:p>
            <w:pPr>
              <w:jc w:val="center"/>
            </w:pPr>
            <w:r>
              <w:rPr>
                <w:rFonts w:hint="eastAsia"/>
                <w:sz w:val="21"/>
                <w:szCs w:val="22"/>
              </w:rPr>
              <w:t>平均课堂规模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szCs w:val="20"/>
              </w:rPr>
              <w:t>管理学</w:t>
            </w:r>
          </w:p>
        </w:tc>
        <w:tc>
          <w:tcPr>
            <w:tcW w:w="1057" w:type="dxa"/>
            <w:vAlign w:val="center"/>
          </w:tcPr>
          <w:p>
            <w:pPr>
              <w:jc w:val="center"/>
              <w:rPr>
                <w:sz w:val="20"/>
                <w:szCs w:val="20"/>
              </w:rPr>
            </w:pPr>
            <w:r>
              <w:rPr>
                <w:sz w:val="20"/>
                <w:szCs w:val="20"/>
              </w:rPr>
              <w:t>030101</w:t>
            </w:r>
          </w:p>
        </w:tc>
        <w:tc>
          <w:tcPr>
            <w:tcW w:w="1185" w:type="dxa"/>
            <w:vAlign w:val="center"/>
          </w:tcPr>
          <w:p>
            <w:pPr>
              <w:jc w:val="center"/>
              <w:rPr>
                <w:sz w:val="20"/>
                <w:szCs w:val="20"/>
              </w:rPr>
            </w:pPr>
            <w:r>
              <w:rPr>
                <w:sz w:val="20"/>
                <w:szCs w:val="20"/>
              </w:rPr>
              <w:t>理论课</w:t>
            </w:r>
          </w:p>
        </w:tc>
        <w:tc>
          <w:tcPr>
            <w:tcW w:w="1185" w:type="dxa"/>
            <w:vAlign w:val="center"/>
          </w:tcPr>
          <w:p>
            <w:pPr>
              <w:jc w:val="center"/>
              <w:rPr>
                <w:sz w:val="20"/>
                <w:szCs w:val="20"/>
              </w:rPr>
            </w:pPr>
            <w:r>
              <w:rPr>
                <w:sz w:val="20"/>
                <w:szCs w:val="20"/>
              </w:rPr>
              <w:t>专业必修课</w:t>
            </w:r>
          </w:p>
        </w:tc>
        <w:tc>
          <w:tcPr>
            <w:tcW w:w="1185" w:type="dxa"/>
            <w:vAlign w:val="center"/>
          </w:tcPr>
          <w:p>
            <w:pPr>
              <w:jc w:val="center"/>
              <w:rPr>
                <w:sz w:val="20"/>
                <w:szCs w:val="20"/>
              </w:rPr>
            </w:pPr>
            <w:r>
              <w:rPr>
                <w:sz w:val="20"/>
                <w:szCs w:val="20"/>
              </w:rPr>
              <w:t>2</w:t>
            </w:r>
          </w:p>
        </w:tc>
        <w:tc>
          <w:tcPr>
            <w:tcW w:w="1185" w:type="dxa"/>
            <w:vAlign w:val="center"/>
          </w:tcPr>
          <w:p>
            <w:pPr>
              <w:jc w:val="center"/>
              <w:rPr>
                <w:sz w:val="20"/>
                <w:szCs w:val="20"/>
              </w:rPr>
            </w:pPr>
            <w:r>
              <w:rPr>
                <w:sz w:val="20"/>
                <w:szCs w:val="20"/>
              </w:rPr>
              <w:t>32</w:t>
            </w:r>
          </w:p>
        </w:tc>
        <w:tc>
          <w:tcPr>
            <w:tcW w:w="1186" w:type="dxa"/>
            <w:vAlign w:val="center"/>
          </w:tcPr>
          <w:p>
            <w:pPr>
              <w:jc w:val="center"/>
              <w:rPr>
                <w:sz w:val="20"/>
                <w:szCs w:val="20"/>
              </w:rPr>
            </w:pPr>
            <w:r>
              <w:rPr>
                <w:sz w:val="20"/>
                <w:szCs w:val="20"/>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组织行为学</w:t>
            </w:r>
          </w:p>
        </w:tc>
        <w:tc>
          <w:tcPr>
            <w:tcW w:w="1057" w:type="dxa"/>
            <w:vAlign w:val="center"/>
          </w:tcPr>
          <w:p>
            <w:pPr>
              <w:jc w:val="center"/>
              <w:rPr>
                <w:sz w:val="20"/>
                <w:szCs w:val="20"/>
              </w:rPr>
            </w:pPr>
            <w:r>
              <w:rPr>
                <w:sz w:val="20"/>
              </w:rPr>
              <w:t>030103</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专业选修课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管理心理学</w:t>
            </w:r>
          </w:p>
        </w:tc>
        <w:tc>
          <w:tcPr>
            <w:tcW w:w="1057" w:type="dxa"/>
            <w:vAlign w:val="center"/>
          </w:tcPr>
          <w:p>
            <w:pPr>
              <w:jc w:val="center"/>
              <w:rPr>
                <w:sz w:val="20"/>
                <w:szCs w:val="20"/>
              </w:rPr>
            </w:pPr>
            <w:r>
              <w:rPr>
                <w:sz w:val="20"/>
              </w:rPr>
              <w:t>030106</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专业选修课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微观经济学</w:t>
            </w:r>
          </w:p>
        </w:tc>
        <w:tc>
          <w:tcPr>
            <w:tcW w:w="1057" w:type="dxa"/>
            <w:vAlign w:val="center"/>
          </w:tcPr>
          <w:p>
            <w:pPr>
              <w:jc w:val="center"/>
              <w:rPr>
                <w:sz w:val="20"/>
                <w:szCs w:val="20"/>
              </w:rPr>
            </w:pPr>
            <w:r>
              <w:rPr>
                <w:sz w:val="20"/>
              </w:rPr>
              <w:t>030207</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专业必修课</w:t>
            </w:r>
          </w:p>
        </w:tc>
        <w:tc>
          <w:tcPr>
            <w:tcW w:w="1185" w:type="dxa"/>
            <w:vAlign w:val="center"/>
          </w:tcPr>
          <w:p>
            <w:pPr>
              <w:jc w:val="center"/>
              <w:rPr>
                <w:sz w:val="20"/>
                <w:szCs w:val="20"/>
              </w:rPr>
            </w:pPr>
            <w:r>
              <w:rPr>
                <w:sz w:val="20"/>
              </w:rPr>
              <w:t>3</w:t>
            </w:r>
          </w:p>
        </w:tc>
        <w:tc>
          <w:tcPr>
            <w:tcW w:w="1185" w:type="dxa"/>
            <w:vAlign w:val="center"/>
          </w:tcPr>
          <w:p>
            <w:pPr>
              <w:jc w:val="center"/>
              <w:rPr>
                <w:sz w:val="20"/>
                <w:szCs w:val="20"/>
              </w:rPr>
            </w:pPr>
            <w:r>
              <w:rPr>
                <w:sz w:val="20"/>
              </w:rPr>
              <w:t>48</w:t>
            </w:r>
          </w:p>
        </w:tc>
        <w:tc>
          <w:tcPr>
            <w:tcW w:w="1186" w:type="dxa"/>
            <w:vAlign w:val="center"/>
          </w:tcPr>
          <w:p>
            <w:pPr>
              <w:jc w:val="center"/>
              <w:rPr>
                <w:sz w:val="20"/>
                <w:szCs w:val="20"/>
              </w:rPr>
            </w:pPr>
            <w:r>
              <w:rPr>
                <w:sz w:val="20"/>
              </w:rPr>
              <w:t>86.14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宏观经济学</w:t>
            </w:r>
          </w:p>
        </w:tc>
        <w:tc>
          <w:tcPr>
            <w:tcW w:w="1057" w:type="dxa"/>
            <w:vAlign w:val="center"/>
          </w:tcPr>
          <w:p>
            <w:pPr>
              <w:jc w:val="center"/>
              <w:rPr>
                <w:sz w:val="20"/>
                <w:szCs w:val="20"/>
              </w:rPr>
            </w:pPr>
            <w:r>
              <w:rPr>
                <w:sz w:val="20"/>
              </w:rPr>
              <w:t>030209</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专业必修课</w:t>
            </w:r>
          </w:p>
        </w:tc>
        <w:tc>
          <w:tcPr>
            <w:tcW w:w="1185" w:type="dxa"/>
            <w:vAlign w:val="center"/>
          </w:tcPr>
          <w:p>
            <w:pPr>
              <w:jc w:val="center"/>
              <w:rPr>
                <w:sz w:val="20"/>
                <w:szCs w:val="20"/>
              </w:rPr>
            </w:pPr>
            <w:r>
              <w:rPr>
                <w:sz w:val="20"/>
              </w:rPr>
              <w:t>3</w:t>
            </w:r>
          </w:p>
        </w:tc>
        <w:tc>
          <w:tcPr>
            <w:tcW w:w="1185" w:type="dxa"/>
            <w:vAlign w:val="center"/>
          </w:tcPr>
          <w:p>
            <w:pPr>
              <w:jc w:val="center"/>
              <w:rPr>
                <w:sz w:val="20"/>
                <w:szCs w:val="20"/>
              </w:rPr>
            </w:pPr>
            <w:r>
              <w:rPr>
                <w:sz w:val="20"/>
              </w:rPr>
              <w:t>48</w:t>
            </w:r>
          </w:p>
        </w:tc>
        <w:tc>
          <w:tcPr>
            <w:tcW w:w="1186" w:type="dxa"/>
            <w:vAlign w:val="center"/>
          </w:tcPr>
          <w:p>
            <w:pPr>
              <w:jc w:val="center"/>
              <w:rPr>
                <w:sz w:val="20"/>
                <w:szCs w:val="20"/>
              </w:rPr>
            </w:pPr>
            <w:r>
              <w:rPr>
                <w:sz w:val="20"/>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财务管理</w:t>
            </w:r>
          </w:p>
        </w:tc>
        <w:tc>
          <w:tcPr>
            <w:tcW w:w="1057" w:type="dxa"/>
            <w:vAlign w:val="center"/>
          </w:tcPr>
          <w:p>
            <w:pPr>
              <w:jc w:val="center"/>
              <w:rPr>
                <w:sz w:val="20"/>
                <w:szCs w:val="20"/>
              </w:rPr>
            </w:pPr>
            <w:r>
              <w:rPr>
                <w:sz w:val="20"/>
              </w:rPr>
              <w:t>030268</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专业选修课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会计学</w:t>
            </w:r>
          </w:p>
        </w:tc>
        <w:tc>
          <w:tcPr>
            <w:tcW w:w="1057" w:type="dxa"/>
            <w:vAlign w:val="center"/>
          </w:tcPr>
          <w:p>
            <w:pPr>
              <w:jc w:val="center"/>
              <w:rPr>
                <w:sz w:val="20"/>
                <w:szCs w:val="20"/>
              </w:rPr>
            </w:pPr>
            <w:r>
              <w:rPr>
                <w:sz w:val="20"/>
              </w:rPr>
              <w:t>030269</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专业必修课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76.33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中国管理学概论</w:t>
            </w:r>
          </w:p>
        </w:tc>
        <w:tc>
          <w:tcPr>
            <w:tcW w:w="1057" w:type="dxa"/>
            <w:vAlign w:val="center"/>
          </w:tcPr>
          <w:p>
            <w:pPr>
              <w:jc w:val="center"/>
              <w:rPr>
                <w:sz w:val="20"/>
                <w:szCs w:val="20"/>
              </w:rPr>
            </w:pPr>
            <w:r>
              <w:rPr>
                <w:sz w:val="20"/>
              </w:rPr>
              <w:t>030359</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专业选修课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华商管理学概论</w:t>
            </w:r>
          </w:p>
        </w:tc>
        <w:tc>
          <w:tcPr>
            <w:tcW w:w="1057" w:type="dxa"/>
            <w:vAlign w:val="center"/>
          </w:tcPr>
          <w:p>
            <w:pPr>
              <w:jc w:val="center"/>
              <w:rPr>
                <w:sz w:val="20"/>
                <w:szCs w:val="20"/>
              </w:rPr>
            </w:pPr>
            <w:r>
              <w:rPr>
                <w:sz w:val="20"/>
              </w:rPr>
              <w:t>030360</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专业选修课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3" w:type="dxa"/>
            <w:vAlign w:val="center"/>
          </w:tcPr>
          <w:p>
            <w:pPr>
              <w:jc w:val="center"/>
              <w:rPr>
                <w:sz w:val="20"/>
                <w:szCs w:val="20"/>
              </w:rPr>
            </w:pPr>
            <w:r>
              <w:rPr>
                <w:sz w:val="20"/>
              </w:rPr>
              <w:t>东方管理学概论</w:t>
            </w:r>
          </w:p>
        </w:tc>
        <w:tc>
          <w:tcPr>
            <w:tcW w:w="1057" w:type="dxa"/>
            <w:vAlign w:val="center"/>
          </w:tcPr>
          <w:p>
            <w:pPr>
              <w:jc w:val="center"/>
              <w:rPr>
                <w:sz w:val="20"/>
                <w:szCs w:val="20"/>
              </w:rPr>
            </w:pPr>
            <w:r>
              <w:rPr>
                <w:sz w:val="20"/>
              </w:rPr>
              <w:t>030375</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专业选修课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管理信息系统</w:t>
            </w:r>
          </w:p>
        </w:tc>
        <w:tc>
          <w:tcPr>
            <w:tcW w:w="1057" w:type="dxa"/>
            <w:vAlign w:val="center"/>
          </w:tcPr>
          <w:p>
            <w:pPr>
              <w:jc w:val="center"/>
              <w:rPr>
                <w:sz w:val="20"/>
                <w:szCs w:val="20"/>
              </w:rPr>
            </w:pPr>
            <w:r>
              <w:rPr>
                <w:sz w:val="20"/>
              </w:rPr>
              <w:t>030534</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专业必修课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78.22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东西方哲学思想比较</w:t>
            </w:r>
          </w:p>
        </w:tc>
        <w:tc>
          <w:tcPr>
            <w:tcW w:w="1057" w:type="dxa"/>
            <w:vAlign w:val="center"/>
          </w:tcPr>
          <w:p>
            <w:pPr>
              <w:jc w:val="center"/>
              <w:rPr>
                <w:sz w:val="20"/>
                <w:szCs w:val="20"/>
              </w:rPr>
            </w:pPr>
            <w:r>
              <w:rPr>
                <w:sz w:val="20"/>
              </w:rPr>
              <w:t>031523</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专业必修课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跨文化管理</w:t>
            </w:r>
          </w:p>
        </w:tc>
        <w:tc>
          <w:tcPr>
            <w:tcW w:w="1057" w:type="dxa"/>
            <w:vAlign w:val="center"/>
          </w:tcPr>
          <w:p>
            <w:pPr>
              <w:jc w:val="center"/>
              <w:rPr>
                <w:sz w:val="20"/>
                <w:szCs w:val="20"/>
              </w:rPr>
            </w:pPr>
            <w:r>
              <w:rPr>
                <w:sz w:val="20"/>
              </w:rPr>
              <w:t>033122</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专业选修课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战略管理</w:t>
            </w:r>
          </w:p>
        </w:tc>
        <w:tc>
          <w:tcPr>
            <w:tcW w:w="1057" w:type="dxa"/>
            <w:vAlign w:val="center"/>
          </w:tcPr>
          <w:p>
            <w:pPr>
              <w:jc w:val="center"/>
              <w:rPr>
                <w:sz w:val="20"/>
                <w:szCs w:val="20"/>
              </w:rPr>
            </w:pPr>
            <w:r>
              <w:rPr>
                <w:sz w:val="20"/>
              </w:rPr>
              <w:t>033903</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专业必修课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61.18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pPr>
              <w:jc w:val="center"/>
              <w:rPr>
                <w:sz w:val="20"/>
                <w:szCs w:val="20"/>
              </w:rPr>
            </w:pPr>
            <w:r>
              <w:rPr>
                <w:sz w:val="20"/>
              </w:rPr>
              <w:t>证券投资学（一）</w:t>
            </w:r>
          </w:p>
        </w:tc>
        <w:tc>
          <w:tcPr>
            <w:tcW w:w="1057" w:type="dxa"/>
            <w:vAlign w:val="center"/>
          </w:tcPr>
          <w:p>
            <w:pPr>
              <w:jc w:val="center"/>
              <w:rPr>
                <w:sz w:val="20"/>
                <w:szCs w:val="20"/>
              </w:rPr>
            </w:pPr>
            <w:r>
              <w:rPr>
                <w:sz w:val="20"/>
              </w:rPr>
              <w:t>033919</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专业选修课</w:t>
            </w:r>
          </w:p>
        </w:tc>
        <w:tc>
          <w:tcPr>
            <w:tcW w:w="1185" w:type="dxa"/>
            <w:vAlign w:val="center"/>
          </w:tcPr>
          <w:p>
            <w:pPr>
              <w:jc w:val="center"/>
              <w:rPr>
                <w:sz w:val="20"/>
                <w:szCs w:val="20"/>
              </w:rPr>
            </w:pPr>
            <w:r>
              <w:rPr>
                <w:sz w:val="20"/>
              </w:rPr>
              <w:t>2</w:t>
            </w:r>
          </w:p>
        </w:tc>
        <w:tc>
          <w:tcPr>
            <w:tcW w:w="1185" w:type="dxa"/>
            <w:vAlign w:val="center"/>
          </w:tcPr>
          <w:p>
            <w:pPr>
              <w:jc w:val="center"/>
              <w:rPr>
                <w:sz w:val="20"/>
                <w:szCs w:val="20"/>
              </w:rPr>
            </w:pPr>
            <w:r>
              <w:rPr>
                <w:sz w:val="20"/>
              </w:rPr>
              <w:t>32</w:t>
            </w:r>
          </w:p>
        </w:tc>
        <w:tc>
          <w:tcPr>
            <w:tcW w:w="1186" w:type="dxa"/>
            <w:vAlign w:val="center"/>
          </w:tcPr>
          <w:p>
            <w:pPr>
              <w:jc w:val="center"/>
              <w:rPr>
                <w:sz w:val="20"/>
                <w:szCs w:val="20"/>
              </w:rPr>
            </w:pPr>
            <w:r>
              <w:rPr>
                <w:sz w:val="20"/>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3" w:type="dxa"/>
            <w:vAlign w:val="center"/>
          </w:tcPr>
          <w:p>
            <w:pPr>
              <w:jc w:val="center"/>
              <w:rPr>
                <w:sz w:val="20"/>
                <w:szCs w:val="20"/>
              </w:rPr>
            </w:pPr>
            <w:r>
              <w:rPr>
                <w:sz w:val="20"/>
              </w:rPr>
              <w:t>概率论与数理统计</w:t>
            </w:r>
          </w:p>
        </w:tc>
        <w:tc>
          <w:tcPr>
            <w:tcW w:w="1057" w:type="dxa"/>
            <w:vAlign w:val="center"/>
          </w:tcPr>
          <w:p>
            <w:pPr>
              <w:jc w:val="center"/>
              <w:rPr>
                <w:sz w:val="20"/>
                <w:szCs w:val="20"/>
              </w:rPr>
            </w:pPr>
            <w:r>
              <w:rPr>
                <w:sz w:val="20"/>
              </w:rPr>
              <w:t>219163</w:t>
            </w:r>
          </w:p>
        </w:tc>
        <w:tc>
          <w:tcPr>
            <w:tcW w:w="1185" w:type="dxa"/>
            <w:vAlign w:val="center"/>
          </w:tcPr>
          <w:p>
            <w:pPr>
              <w:jc w:val="center"/>
              <w:rPr>
                <w:sz w:val="20"/>
                <w:szCs w:val="20"/>
              </w:rPr>
            </w:pPr>
            <w:r>
              <w:rPr>
                <w:sz w:val="20"/>
              </w:rPr>
              <w:t>理论课</w:t>
            </w:r>
          </w:p>
        </w:tc>
        <w:tc>
          <w:tcPr>
            <w:tcW w:w="1185" w:type="dxa"/>
            <w:vAlign w:val="center"/>
          </w:tcPr>
          <w:p>
            <w:pPr>
              <w:jc w:val="center"/>
              <w:rPr>
                <w:sz w:val="20"/>
                <w:szCs w:val="20"/>
              </w:rPr>
            </w:pPr>
            <w:r>
              <w:rPr>
                <w:sz w:val="20"/>
              </w:rPr>
              <w:t>专业必修课</w:t>
            </w:r>
          </w:p>
        </w:tc>
        <w:tc>
          <w:tcPr>
            <w:tcW w:w="1185" w:type="dxa"/>
            <w:vAlign w:val="center"/>
          </w:tcPr>
          <w:p>
            <w:pPr>
              <w:jc w:val="center"/>
              <w:rPr>
                <w:sz w:val="20"/>
                <w:szCs w:val="20"/>
              </w:rPr>
            </w:pPr>
            <w:r>
              <w:rPr>
                <w:sz w:val="20"/>
              </w:rPr>
              <w:t>3</w:t>
            </w:r>
          </w:p>
        </w:tc>
        <w:tc>
          <w:tcPr>
            <w:tcW w:w="1185" w:type="dxa"/>
            <w:vAlign w:val="center"/>
          </w:tcPr>
          <w:p>
            <w:pPr>
              <w:jc w:val="center"/>
              <w:rPr>
                <w:sz w:val="20"/>
                <w:szCs w:val="20"/>
              </w:rPr>
            </w:pPr>
            <w:r>
              <w:rPr>
                <w:sz w:val="20"/>
              </w:rPr>
              <w:t>48</w:t>
            </w:r>
          </w:p>
        </w:tc>
        <w:tc>
          <w:tcPr>
            <w:tcW w:w="1186" w:type="dxa"/>
            <w:vAlign w:val="center"/>
          </w:tcPr>
          <w:p>
            <w:pPr>
              <w:jc w:val="center"/>
              <w:rPr>
                <w:sz w:val="20"/>
                <w:szCs w:val="20"/>
              </w:rPr>
            </w:pPr>
            <w:r>
              <w:rPr>
                <w:sz w:val="20"/>
              </w:rPr>
              <w:t>120.83</w:t>
            </w:r>
          </w:p>
        </w:tc>
      </w:tr>
    </w:tbl>
    <w:p/>
    <w:p>
      <w:r>
        <w:rPr>
          <w:rFonts w:hint="eastAsia"/>
        </w:rPr>
        <w:t>※以上数据来源：表</w:t>
      </w:r>
      <w:r>
        <w:t xml:space="preserve"> 5-1-1开课情况、表 5-1-2 专业课教学实施情况。</w:t>
      </w:r>
    </w:p>
    <w:p/>
    <w:p>
      <w:pPr>
        <w:pStyle w:val="4"/>
        <w:rPr>
          <w:rFonts w:ascii="宋体" w:hAnsi="宋体" w:eastAsia="宋体"/>
          <w:b w:val="0"/>
          <w:bCs w:val="0"/>
          <w:sz w:val="24"/>
          <w:szCs w:val="24"/>
        </w:rPr>
      </w:pPr>
      <w:bookmarkStart w:id="31" w:name="_Toc155617884"/>
      <w:r>
        <w:rPr>
          <w:rFonts w:ascii="宋体" w:hAnsi="宋体" w:eastAsia="宋体"/>
          <w:b w:val="0"/>
          <w:bCs w:val="0"/>
          <w:sz w:val="24"/>
          <w:szCs w:val="24"/>
        </w:rPr>
        <w:t>3.6实验教学情况</w:t>
      </w:r>
      <w:bookmarkEnd w:id="31"/>
    </w:p>
    <w:p>
      <w:pPr>
        <w:snapToGrid w:val="0"/>
        <w:spacing w:line="360" w:lineRule="auto"/>
        <w:ind w:firstLine="480" w:firstLineChars="200"/>
        <w:rPr>
          <w:color w:val="FF0000"/>
        </w:rPr>
      </w:pPr>
      <w:r>
        <w:rPr>
          <w:color w:val="000000" w:themeColor="text1"/>
          <w14:textFill>
            <w14:solidFill>
              <w14:schemeClr w14:val="tx1"/>
            </w14:solidFill>
          </w14:textFill>
        </w:rPr>
        <w:t>1.专业实验实践教学总学时、总学分占比情况。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项目</w:t>
            </w:r>
          </w:p>
        </w:tc>
        <w:tc>
          <w:tcPr>
            <w:tcW w:w="4148" w:type="dxa"/>
            <w:vAlign w:val="center"/>
          </w:tcPr>
          <w:p>
            <w:pPr>
              <w:jc w:val="center"/>
              <w:rPr>
                <w:sz w:val="21"/>
                <w:szCs w:val="21"/>
              </w:rPr>
            </w:pPr>
            <w:r>
              <w:rPr>
                <w:rFonts w:hint="eastAsia"/>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实验教学学分</w:t>
            </w:r>
          </w:p>
        </w:tc>
        <w:tc>
          <w:tcPr>
            <w:tcW w:w="4148" w:type="dxa"/>
            <w:vAlign w:val="center"/>
          </w:tcPr>
          <w:p>
            <w:pPr>
              <w:jc w:val="center"/>
              <w:rPr>
                <w:sz w:val="21"/>
                <w:szCs w:val="21"/>
              </w:rPr>
            </w:pPr>
            <w:r>
              <w:rPr>
                <w:rFonts w:cs="Noto Sans Mono CJK JP Regular"/>
                <w:sz w:val="21"/>
                <w:szCs w:val="21"/>
              </w:rPr>
              <w:t>6.62</w:t>
            </w:r>
            <w:bookmarkStart w:id="32" w:name="OLE_LINK18"/>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占总学分（％）</w:t>
            </w:r>
          </w:p>
        </w:tc>
        <w:tc>
          <w:tcPr>
            <w:tcW w:w="4148" w:type="dxa"/>
            <w:vAlign w:val="center"/>
          </w:tcPr>
          <w:p>
            <w:pPr>
              <w:jc w:val="center"/>
              <w:rPr>
                <w:sz w:val="21"/>
                <w:szCs w:val="21"/>
              </w:rPr>
            </w:pPr>
            <w:r>
              <w:rPr>
                <w:rFonts w:cs="Noto Sans Mono CJK JP Regular"/>
                <w:sz w:val="21"/>
                <w:szCs w:val="2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vAlign w:val="center"/>
          </w:tcPr>
          <w:p>
            <w:pPr>
              <w:jc w:val="center"/>
              <w:rPr>
                <w:sz w:val="21"/>
                <w:szCs w:val="21"/>
              </w:rPr>
            </w:pPr>
            <w:r>
              <w:rPr>
                <w:rFonts w:hint="eastAsia"/>
                <w:sz w:val="21"/>
                <w:szCs w:val="21"/>
              </w:rPr>
              <w:t>学年内开设实验课门数</w:t>
            </w:r>
          </w:p>
        </w:tc>
        <w:tc>
          <w:tcPr>
            <w:tcW w:w="4148" w:type="dxa"/>
            <w:vAlign w:val="center"/>
          </w:tcPr>
          <w:p>
            <w:pPr>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实验课程平均课堂规模</w:t>
            </w:r>
          </w:p>
        </w:tc>
        <w:tc>
          <w:tcPr>
            <w:tcW w:w="4148" w:type="dxa"/>
            <w:vAlign w:val="center"/>
          </w:tcPr>
          <w:p>
            <w:pPr>
              <w:jc w:val="center"/>
              <w:rPr>
                <w:sz w:val="21"/>
                <w:szCs w:val="21"/>
              </w:rPr>
            </w:pPr>
            <w:r>
              <w:rPr>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专业实验教学仪器设备值</w:t>
            </w:r>
          </w:p>
        </w:tc>
        <w:tc>
          <w:tcPr>
            <w:tcW w:w="4148" w:type="dxa"/>
            <w:vAlign w:val="center"/>
          </w:tcPr>
          <w:p>
            <w:pPr>
              <w:jc w:val="center"/>
              <w:rPr>
                <w:sz w:val="21"/>
                <w:szCs w:val="21"/>
              </w:rPr>
            </w:pPr>
            <w:r>
              <w:rPr>
                <w:sz w:val="21"/>
                <w:szCs w:val="21"/>
              </w:rPr>
              <w:t>818952</w:t>
            </w:r>
          </w:p>
        </w:tc>
      </w:tr>
    </w:tbl>
    <w:p/>
    <w:p>
      <w:r>
        <w:rPr>
          <w:rFonts w:hint="eastAsia"/>
        </w:rPr>
        <w:t>※以上数据来源：表</w:t>
      </w:r>
      <w:r>
        <w:t xml:space="preserve"> 4-2 专业培养计划表</w:t>
      </w:r>
      <w:r>
        <w:rPr>
          <w:rFonts w:hint="eastAsia"/>
        </w:rPr>
        <w:t>、表</w:t>
      </w:r>
      <w:r>
        <w:t xml:space="preserve"> 5-1-1开课情况、表 5-1-2 专业课教学实施情况</w:t>
      </w:r>
      <w:r>
        <w:rPr>
          <w:rFonts w:hint="eastAsia"/>
        </w:rPr>
        <w:t>、表</w:t>
      </w:r>
      <w:r>
        <w:t xml:space="preserve"> 5-1-3 分专业（大类）专业实验课情况</w:t>
      </w:r>
    </w:p>
    <w:p/>
    <w:p>
      <w:pPr>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2.实验教学大纲、实习（实训）教学大纲修订情况。</w:t>
      </w:r>
    </w:p>
    <w:p>
      <w:pPr>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实验教学必须提交实验大纲、实验指导书，经教务处审核后才能开始实验课。实验结束必须归档五件套：大纲、指导书、成绩单、实验报告、实习教学小结。</w:t>
      </w:r>
    </w:p>
    <w:p>
      <w:pPr>
        <w:snapToGrid w:val="0"/>
        <w:spacing w:line="360" w:lineRule="auto"/>
        <w:ind w:firstLine="480" w:firstLineChars="200"/>
        <w:rPr>
          <w:color w:val="FF0000"/>
        </w:rPr>
      </w:pPr>
      <w:r>
        <w:rPr>
          <w:rFonts w:hint="eastAsia"/>
          <w:color w:val="000000" w:themeColor="text1"/>
          <w14:textFill>
            <w14:solidFill>
              <w14:schemeClr w14:val="tx1"/>
            </w14:solidFill>
          </w14:textFill>
        </w:rPr>
        <w:t>目前，本专业教学计划实验完全按照培养计划开出。综合性、设计性实验目前开出率达到</w:t>
      </w:r>
      <w:r>
        <w:rPr>
          <w:color w:val="000000" w:themeColor="text1"/>
          <w14:textFill>
            <w14:solidFill>
              <w14:schemeClr w14:val="tx1"/>
            </w14:solidFill>
          </w14:textFill>
        </w:rPr>
        <w:t>100%。</w:t>
      </w:r>
    </w:p>
    <w:p>
      <w:pPr>
        <w:pStyle w:val="4"/>
        <w:rPr>
          <w:rFonts w:ascii="宋体" w:hAnsi="宋体" w:eastAsia="宋体"/>
          <w:b w:val="0"/>
          <w:bCs w:val="0"/>
          <w:sz w:val="24"/>
          <w:szCs w:val="24"/>
        </w:rPr>
      </w:pPr>
      <w:bookmarkStart w:id="33" w:name="_Toc155617885"/>
      <w:r>
        <w:rPr>
          <w:rFonts w:ascii="宋体" w:hAnsi="宋体" w:eastAsia="宋体"/>
          <w:b w:val="0"/>
          <w:bCs w:val="0"/>
          <w:sz w:val="24"/>
          <w:szCs w:val="24"/>
        </w:rPr>
        <w:t>3.7</w:t>
      </w:r>
      <w:r>
        <w:rPr>
          <w:rFonts w:hint="eastAsia" w:ascii="宋体" w:hAnsi="宋体" w:eastAsia="宋体"/>
          <w:b w:val="0"/>
          <w:bCs w:val="0"/>
          <w:sz w:val="24"/>
          <w:szCs w:val="24"/>
        </w:rPr>
        <w:t>实践教学情况</w:t>
      </w:r>
      <w:bookmarkEnd w:id="33"/>
    </w:p>
    <w:p>
      <w:pPr>
        <w:snapToGrid w:val="0"/>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学生实习包括专业实习、制造技术实习与产学合作实习等多种形式。要求有实习计划、实习大纲、实习指导书、实习报告、实习总结。教学计划安排了</w:t>
      </w:r>
      <w:r>
        <w:rPr>
          <w:rFonts w:hint="eastAsia"/>
          <w:color w:val="000000" w:themeColor="text1"/>
          <w14:textFill>
            <w14:solidFill>
              <w14:schemeClr w14:val="tx1"/>
            </w14:solidFill>
          </w14:textFill>
        </w:rPr>
        <w:t>工程基础训练</w:t>
      </w:r>
      <w:r>
        <w:rPr>
          <w:color w:val="000000" w:themeColor="text1"/>
          <w14:textFill>
            <w14:solidFill>
              <w14:schemeClr w14:val="tx1"/>
            </w14:solidFill>
          </w14:textFill>
        </w:rPr>
        <w:t>E、中外企业比较研究实习（一）、中外企业比较研究实习（二）、东方管理创新调研实习等实习环节，各专项实习均有稳定的校内外实习基地。</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产教融合特色。本专业实践教学体系包括公共基础类实践、学科基础类实践和校企产学合作实践三个课程组，涉及军训、工程基础训练、中外企业比较研究实习、东方管理创新调研实习、合作教育、毕业设计（论文）等实践环节。实践教学体系将专业技能训练和实践能力培养有机结合，贯穿到学生培养的全过程，在精准对接产业发展和企业需求的基础上，实现多元化产教融合，注重“知识运用、能力提升和人格塑造”互促共进。</w:t>
      </w:r>
    </w:p>
    <w:p>
      <w:pPr>
        <w:snapToGrid w:val="0"/>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1.校企产学合作实践</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1）校企产学合作实践（一）</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合作教育（一）：第二学期，共计</w:t>
      </w:r>
      <w:r>
        <w:rPr>
          <w:color w:val="000000" w:themeColor="text1"/>
          <w14:textFill>
            <w14:solidFill>
              <w14:schemeClr w14:val="tx1"/>
            </w14:solidFill>
          </w14:textFill>
        </w:rPr>
        <w:t>6周。合作教育旨在通过校企业合作，使学生在企业的管理实践中得到认识社会、培养</w:t>
      </w:r>
      <w:r>
        <w:rPr>
          <w:rFonts w:hint="eastAsia"/>
          <w:color w:val="000000" w:themeColor="text1"/>
          <w14:textFill>
            <w14:solidFill>
              <w14:schemeClr w14:val="tx1"/>
            </w14:solidFill>
          </w14:textFill>
        </w:rPr>
        <w:t>工作经验的机会，为毕业后走向工作岗位打下基础。</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2）校企产学合作实践（二）</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合作教育（二）：第四学期，共计</w:t>
      </w:r>
      <w:r>
        <w:rPr>
          <w:color w:val="000000" w:themeColor="text1"/>
          <w14:textFill>
            <w14:solidFill>
              <w14:schemeClr w14:val="tx1"/>
            </w14:solidFill>
          </w14:textFill>
        </w:rPr>
        <w:t>6周。合作教育旨在通过校企业合作，使学生在企业的管理实践中得到认识社会、培养</w:t>
      </w:r>
      <w:r>
        <w:rPr>
          <w:rFonts w:hint="eastAsia"/>
          <w:color w:val="000000" w:themeColor="text1"/>
          <w14:textFill>
            <w14:solidFill>
              <w14:schemeClr w14:val="tx1"/>
            </w14:solidFill>
          </w14:textFill>
        </w:rPr>
        <w:t>工作经验的机会，为毕业后走向工作岗位打下基础。</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3）校企产学合作实践（三）</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①合作教育（三）：第六学期，共计</w:t>
      </w:r>
      <w:r>
        <w:rPr>
          <w:color w:val="000000" w:themeColor="text1"/>
          <w14:textFill>
            <w14:solidFill>
              <w14:schemeClr w14:val="tx1"/>
            </w14:solidFill>
          </w14:textFill>
        </w:rPr>
        <w:t>6周。合作教育旨在通过校企业合作，使学生在企业的营销实践中得到认识社会、培</w:t>
      </w:r>
      <w:r>
        <w:rPr>
          <w:rFonts w:hint="eastAsia"/>
          <w:color w:val="000000" w:themeColor="text1"/>
          <w14:textFill>
            <w14:solidFill>
              <w14:schemeClr w14:val="tx1"/>
            </w14:solidFill>
          </w14:textFill>
        </w:rPr>
        <w:t>养工作经验的机会，为毕业后走向工作岗位打下基础。</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②毕业设计（论文）：第八学期，共计</w:t>
      </w:r>
      <w:r>
        <w:rPr>
          <w:color w:val="000000" w:themeColor="text1"/>
          <w14:textFill>
            <w14:solidFill>
              <w14:schemeClr w14:val="tx1"/>
            </w14:solidFill>
          </w14:textFill>
        </w:rPr>
        <w:t>16周。毕业设计（论文）是在完成本专业所学理论和实践教学课程后进行的主要实</w:t>
      </w:r>
      <w:r>
        <w:rPr>
          <w:rFonts w:hint="eastAsia"/>
          <w:color w:val="000000" w:themeColor="text1"/>
          <w14:textFill>
            <w14:solidFill>
              <w14:schemeClr w14:val="tx1"/>
            </w14:solidFill>
          </w14:textFill>
        </w:rPr>
        <w:t>践教学环节，旨在巩固所学理论知识和技能，培养学生综合运用所学知识和技能、独立进行管理方案的设计，培养学生进行科学研究的初步能力。要求确定符合本专业培养目标的毕业设计（论文）题目，根据题目进行定点实习、调研、论文撰写和答辩。</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（二）劳动教育实践。将劳动教育嵌入到“工程基础训练</w:t>
      </w:r>
      <w:r>
        <w:rPr>
          <w:color w:val="000000" w:themeColor="text1"/>
          <w14:textFill>
            <w14:solidFill>
              <w14:schemeClr w14:val="tx1"/>
            </w14:solidFill>
          </w14:textFill>
        </w:rPr>
        <w:t>E”实践中，冲抵1学分的劳动教育实践。要求学生在了解现代</w:t>
      </w:r>
      <w:r>
        <w:rPr>
          <w:rFonts w:hint="eastAsia"/>
          <w:color w:val="000000" w:themeColor="text1"/>
          <w14:textFill>
            <w14:solidFill>
              <w14:schemeClr w14:val="tx1"/>
            </w14:solidFill>
          </w14:textFill>
        </w:rPr>
        <w:t>工程技术发展现状、掌握工程加工基本技能的过程中，增强劳动认知，阐释劳动过程，描述劳动感受，使学生养成良好的劳动习惯，形成正确的劳动观。</w:t>
      </w:r>
    </w:p>
    <w:p>
      <w:pPr>
        <w:snapToGrid w:val="0"/>
        <w:spacing w:line="360" w:lineRule="auto"/>
        <w:ind w:firstLine="480" w:firstLineChars="200"/>
        <w:jc w:val="both"/>
        <w:rPr>
          <w:color w:val="FF0000"/>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023</w:t>
      </w:r>
      <w:r>
        <w:rPr>
          <w:rFonts w:hint="eastAsia"/>
          <w:color w:val="000000" w:themeColor="text1"/>
          <w14:textFill>
            <w14:solidFill>
              <w14:schemeClr w14:val="tx1"/>
            </w14:solidFill>
          </w14:textFill>
        </w:rPr>
        <w:t>年度20级同学实践课程中外企业比较实习（一）研读了《丰田人才精益模式》、《丰田精益管理采购与供应商管理图解版》两本专著，撰写读书心得。中外企业比较实习（二）于六月份分别赴朗亿、蚂蚁创客、西川密封件等企业开展实习。</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44"/>
        <w:gridCol w:w="44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7" w:hRule="atLeast"/>
        </w:trPr>
        <w:tc>
          <w:tcPr>
            <w:tcW w:w="4044" w:type="dxa"/>
          </w:tcPr>
          <w:p>
            <w:pPr>
              <w:snapToGrid w:val="0"/>
              <w:spacing w:line="360" w:lineRule="auto"/>
              <w:rPr>
                <w:color w:val="FF0000"/>
              </w:rPr>
            </w:pPr>
            <w:bookmarkStart w:id="34" w:name="_Toc155617886"/>
            <w:r>
              <w:drawing>
                <wp:inline distT="0" distB="0" distL="114935" distR="114935">
                  <wp:extent cx="2551430" cy="2033905"/>
                  <wp:effectExtent l="0" t="0" r="127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2554284" cy="2036180"/>
                          </a:xfrm>
                          <a:prstGeom prst="rect">
                            <a:avLst/>
                          </a:prstGeom>
                          <a:noFill/>
                          <a:ln>
                            <a:noFill/>
                          </a:ln>
                        </pic:spPr>
                      </pic:pic>
                    </a:graphicData>
                  </a:graphic>
                </wp:inline>
              </w:drawing>
            </w:r>
          </w:p>
        </w:tc>
        <w:tc>
          <w:tcPr>
            <w:tcW w:w="4478" w:type="dxa"/>
          </w:tcPr>
          <w:p>
            <w:pPr>
              <w:snapToGrid w:val="0"/>
              <w:spacing w:line="360" w:lineRule="auto"/>
              <w:rPr>
                <w:i/>
                <w:iCs/>
                <w:color w:val="FF0000"/>
              </w:rPr>
            </w:pPr>
            <w:r>
              <w:drawing>
                <wp:inline distT="0" distB="0" distL="114300" distR="114300">
                  <wp:extent cx="2686050" cy="2033905"/>
                  <wp:effectExtent l="0" t="0" r="6350" b="234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2686050" cy="20339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44" w:type="dxa"/>
          </w:tcPr>
          <w:p>
            <w:pPr>
              <w:snapToGrid w:val="0"/>
              <w:spacing w:line="360" w:lineRule="auto"/>
            </w:pPr>
            <w:r>
              <w:drawing>
                <wp:inline distT="0" distB="0" distL="114300" distR="114300">
                  <wp:extent cx="2427605" cy="1998345"/>
                  <wp:effectExtent l="0" t="0" r="0"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tretch>
                            <a:fillRect/>
                          </a:stretch>
                        </pic:blipFill>
                        <pic:spPr>
                          <a:xfrm>
                            <a:off x="0" y="0"/>
                            <a:ext cx="2430540" cy="2001338"/>
                          </a:xfrm>
                          <a:prstGeom prst="rect">
                            <a:avLst/>
                          </a:prstGeom>
                          <a:noFill/>
                          <a:ln>
                            <a:noFill/>
                          </a:ln>
                        </pic:spPr>
                      </pic:pic>
                    </a:graphicData>
                  </a:graphic>
                </wp:inline>
              </w:drawing>
            </w:r>
          </w:p>
        </w:tc>
        <w:tc>
          <w:tcPr>
            <w:tcW w:w="4478" w:type="dxa"/>
          </w:tcPr>
          <w:p>
            <w:pPr>
              <w:snapToGrid w:val="0"/>
              <w:spacing w:line="360" w:lineRule="auto"/>
            </w:pPr>
            <w:r>
              <w:drawing>
                <wp:inline distT="0" distB="0" distL="114300" distR="114300">
                  <wp:extent cx="2701925" cy="2026285"/>
                  <wp:effectExtent l="0" t="0" r="15875"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2701925" cy="2026285"/>
                          </a:xfrm>
                          <a:prstGeom prst="rect">
                            <a:avLst/>
                          </a:prstGeom>
                          <a:noFill/>
                          <a:ln>
                            <a:noFill/>
                          </a:ln>
                        </pic:spPr>
                      </pic:pic>
                    </a:graphicData>
                  </a:graphic>
                </wp:inline>
              </w:drawing>
            </w:r>
          </w:p>
        </w:tc>
      </w:tr>
    </w:tbl>
    <w:p>
      <w:pPr>
        <w:jc w:val="center"/>
      </w:pPr>
      <w:r>
        <w:rPr>
          <w:rFonts w:hint="eastAsia"/>
        </w:rPr>
        <w:t>图3</w:t>
      </w:r>
      <w:r>
        <w:t>-1</w:t>
      </w:r>
      <w:r>
        <w:rPr>
          <w:rFonts w:hint="eastAsia"/>
        </w:rPr>
        <w:t>：2023年20级中外企业比较实习</w:t>
      </w:r>
    </w:p>
    <w:p>
      <w:pPr>
        <w:pStyle w:val="4"/>
        <w:rPr>
          <w:rFonts w:ascii="宋体" w:hAnsi="宋体" w:eastAsia="宋体"/>
          <w:b w:val="0"/>
          <w:bCs w:val="0"/>
          <w:sz w:val="24"/>
          <w:szCs w:val="24"/>
        </w:rPr>
      </w:pPr>
      <w:r>
        <w:rPr>
          <w:rFonts w:ascii="宋体" w:hAnsi="宋体" w:eastAsia="宋体"/>
          <w:b w:val="0"/>
          <w:bCs w:val="0"/>
          <w:sz w:val="24"/>
          <w:szCs w:val="24"/>
        </w:rPr>
        <w:t>3.8</w:t>
      </w:r>
      <w:r>
        <w:rPr>
          <w:rFonts w:hint="eastAsia" w:ascii="宋体" w:hAnsi="宋体" w:eastAsia="宋体"/>
          <w:b w:val="0"/>
          <w:bCs w:val="0"/>
          <w:sz w:val="24"/>
          <w:szCs w:val="24"/>
        </w:rPr>
        <w:t>创新创业教育</w:t>
      </w:r>
      <w:bookmarkEnd w:id="34"/>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第二课堂共</w:t>
      </w:r>
      <w:r>
        <w:rPr>
          <w:color w:val="000000" w:themeColor="text1"/>
          <w14:textFill>
            <w14:solidFill>
              <w14:schemeClr w14:val="tx1"/>
            </w14:solidFill>
          </w14:textFill>
        </w:rPr>
        <w:t>4学分，由“创新创业类”和“素质拓展类”两大模块组成。“创新创业类”和“素质拓展类”各2学分。</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专业注重学生的创新精神与实践能力，积极组织学生参加大学生数模竞赛、英语竞赛、互联网</w:t>
      </w:r>
      <w:r>
        <w:rPr>
          <w:color w:val="000000" w:themeColor="text1"/>
          <w14:textFill>
            <w14:solidFill>
              <w14:schemeClr w14:val="tx1"/>
            </w14:solidFill>
          </w14:textFill>
        </w:rPr>
        <w:t>+创新创业竞赛等各类学科竞赛；专业教师积极指导学生申报参加大学生创新项目；要求学生每年完成6周的暑期产学合作，专业教师积极履行协调员职责。</w:t>
      </w:r>
    </w:p>
    <w:p>
      <w:pPr>
        <w:snapToGrid w:val="0"/>
        <w:spacing w:line="360" w:lineRule="auto"/>
        <w:ind w:firstLine="482" w:firstLineChars="200"/>
        <w:jc w:val="both"/>
        <w:rPr>
          <w:b/>
          <w:bCs/>
          <w:color w:val="FF0000"/>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023</w:t>
      </w:r>
      <w:r>
        <w:rPr>
          <w:rFonts w:hint="eastAsia"/>
          <w:b/>
          <w:bCs/>
          <w:color w:val="000000" w:themeColor="text1"/>
          <w14:textFill>
            <w14:solidFill>
              <w14:schemeClr w14:val="tx1"/>
            </w14:solidFill>
          </w14:textFill>
        </w:rPr>
        <w:t>年度本专业刘佼老师指导校级大学生创新训练项目获批立项一项。</w:t>
      </w:r>
    </w:p>
    <w:p>
      <w:pPr>
        <w:pStyle w:val="4"/>
        <w:rPr>
          <w:rFonts w:ascii="宋体" w:hAnsi="宋体" w:eastAsia="宋体"/>
          <w:b w:val="0"/>
          <w:bCs w:val="0"/>
          <w:sz w:val="24"/>
          <w:szCs w:val="24"/>
        </w:rPr>
      </w:pPr>
      <w:bookmarkStart w:id="35" w:name="_Toc155617887"/>
      <w:r>
        <w:rPr>
          <w:rFonts w:ascii="宋体" w:hAnsi="宋体" w:eastAsia="宋体"/>
          <w:b w:val="0"/>
          <w:bCs w:val="0"/>
          <w:sz w:val="24"/>
          <w:szCs w:val="24"/>
        </w:rPr>
        <w:t>3.9学生毕业综合训练情况</w:t>
      </w:r>
      <w:bookmarkEnd w:id="35"/>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969"/>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9" w:type="dxa"/>
            <w:gridSpan w:val="2"/>
            <w:vAlign w:val="center"/>
          </w:tcPr>
          <w:p>
            <w:pPr>
              <w:jc w:val="center"/>
              <w:rPr>
                <w:sz w:val="22"/>
                <w:szCs w:val="22"/>
              </w:rPr>
            </w:pPr>
            <w:r>
              <w:rPr>
                <w:rFonts w:hint="eastAsia"/>
                <w:sz w:val="22"/>
                <w:szCs w:val="22"/>
              </w:rPr>
              <w:t>项目</w:t>
            </w:r>
          </w:p>
        </w:tc>
        <w:tc>
          <w:tcPr>
            <w:tcW w:w="2347" w:type="dxa"/>
            <w:vAlign w:val="center"/>
          </w:tcPr>
          <w:p>
            <w:pPr>
              <w:jc w:val="center"/>
              <w:rPr>
                <w:sz w:val="22"/>
                <w:szCs w:val="22"/>
              </w:rPr>
            </w:pPr>
            <w:r>
              <w:rPr>
                <w:rFonts w:hint="eastAsia"/>
                <w:sz w:val="22"/>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restart"/>
            <w:vAlign w:val="center"/>
          </w:tcPr>
          <w:p>
            <w:pPr>
              <w:jc w:val="center"/>
              <w:rPr>
                <w:sz w:val="22"/>
                <w:szCs w:val="22"/>
              </w:rPr>
            </w:pPr>
            <w:r>
              <w:rPr>
                <w:rFonts w:hint="eastAsia"/>
                <w:sz w:val="22"/>
                <w:szCs w:val="22"/>
              </w:rPr>
              <w:t>毕业综合训练课题（个）</w:t>
            </w:r>
          </w:p>
        </w:tc>
        <w:tc>
          <w:tcPr>
            <w:tcW w:w="3969" w:type="dxa"/>
            <w:vAlign w:val="center"/>
          </w:tcPr>
          <w:p>
            <w:pPr>
              <w:jc w:val="center"/>
              <w:rPr>
                <w:sz w:val="22"/>
                <w:szCs w:val="22"/>
              </w:rPr>
            </w:pPr>
            <w:r>
              <w:rPr>
                <w:rFonts w:hint="eastAsia"/>
                <w:sz w:val="22"/>
                <w:szCs w:val="22"/>
              </w:rPr>
              <w:t>总数</w:t>
            </w:r>
          </w:p>
        </w:tc>
        <w:tc>
          <w:tcPr>
            <w:tcW w:w="2347" w:type="dxa"/>
            <w:vAlign w:val="center"/>
          </w:tcPr>
          <w:p>
            <w:pPr>
              <w:jc w:val="center"/>
              <w:rPr>
                <w:sz w:val="22"/>
                <w:szCs w:val="22"/>
              </w:rPr>
            </w:pPr>
            <w:r>
              <w:rPr>
                <w:sz w:val="22"/>
                <w:szCs w:val="22"/>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sz w:val="22"/>
                <w:szCs w:val="22"/>
              </w:rPr>
            </w:pPr>
          </w:p>
        </w:tc>
        <w:tc>
          <w:tcPr>
            <w:tcW w:w="3969" w:type="dxa"/>
            <w:vAlign w:val="center"/>
          </w:tcPr>
          <w:p>
            <w:pPr>
              <w:jc w:val="center"/>
              <w:rPr>
                <w:sz w:val="22"/>
                <w:szCs w:val="22"/>
              </w:rPr>
            </w:pPr>
            <w:r>
              <w:rPr>
                <w:rFonts w:hint="eastAsia"/>
                <w:sz w:val="22"/>
                <w:szCs w:val="22"/>
              </w:rPr>
              <w:t>其中：在实验、实习、社会调查等社会实践中完成数</w:t>
            </w:r>
          </w:p>
        </w:tc>
        <w:tc>
          <w:tcPr>
            <w:tcW w:w="2347" w:type="dxa"/>
            <w:vAlign w:val="center"/>
          </w:tcPr>
          <w:p>
            <w:pPr>
              <w:jc w:val="center"/>
              <w:rPr>
                <w:sz w:val="22"/>
                <w:szCs w:val="22"/>
              </w:rPr>
            </w:pPr>
            <w:r>
              <w:rPr>
                <w:sz w:val="22"/>
                <w:szCs w:val="22"/>
              </w:rPr>
              <w:t>29</w:t>
            </w:r>
            <w:bookmarkStart w:id="36" w:name="OLE_LINK19"/>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sz w:val="22"/>
                <w:szCs w:val="22"/>
              </w:rPr>
            </w:pPr>
          </w:p>
        </w:tc>
        <w:tc>
          <w:tcPr>
            <w:tcW w:w="3969" w:type="dxa"/>
            <w:vAlign w:val="center"/>
          </w:tcPr>
          <w:p>
            <w:pPr>
              <w:jc w:val="center"/>
              <w:rPr>
                <w:sz w:val="22"/>
                <w:szCs w:val="22"/>
              </w:rPr>
            </w:pPr>
            <w:r>
              <w:rPr>
                <w:rFonts w:hint="eastAsia"/>
                <w:sz w:val="22"/>
                <w:szCs w:val="22"/>
              </w:rPr>
              <w:t>其中：在实验、实习、社会调查等社会实践中完成比例（</w:t>
            </w:r>
            <w:r>
              <w:rPr>
                <w:sz w:val="22"/>
                <w:szCs w:val="22"/>
              </w:rPr>
              <w:t>%）</w:t>
            </w:r>
          </w:p>
        </w:tc>
        <w:tc>
          <w:tcPr>
            <w:tcW w:w="2347" w:type="dxa"/>
            <w:vAlign w:val="center"/>
          </w:tcPr>
          <w:p>
            <w:pPr>
              <w:jc w:val="center"/>
              <w:rPr>
                <w:sz w:val="22"/>
                <w:szCs w:val="22"/>
              </w:rPr>
            </w:pPr>
            <w:r>
              <w:rPr>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restart"/>
            <w:vAlign w:val="center"/>
          </w:tcPr>
          <w:p>
            <w:pPr>
              <w:jc w:val="center"/>
              <w:rPr>
                <w:sz w:val="22"/>
                <w:szCs w:val="22"/>
              </w:rPr>
            </w:pPr>
            <w:bookmarkStart w:id="37" w:name="OLE_LINK20"/>
            <w:r>
              <w:rPr>
                <w:rFonts w:hint="eastAsia"/>
                <w:sz w:val="22"/>
                <w:szCs w:val="22"/>
              </w:rPr>
              <w:t>指导教师数</w:t>
            </w:r>
            <w:bookmarkEnd w:id="37"/>
          </w:p>
        </w:tc>
        <w:tc>
          <w:tcPr>
            <w:tcW w:w="3969" w:type="dxa"/>
            <w:vAlign w:val="center"/>
          </w:tcPr>
          <w:p>
            <w:pPr>
              <w:jc w:val="center"/>
              <w:rPr>
                <w:sz w:val="22"/>
                <w:szCs w:val="22"/>
              </w:rPr>
            </w:pPr>
            <w:r>
              <w:rPr>
                <w:rFonts w:hint="eastAsia"/>
                <w:sz w:val="22"/>
                <w:szCs w:val="22"/>
              </w:rPr>
              <w:t>本专业教师</w:t>
            </w:r>
          </w:p>
        </w:tc>
        <w:tc>
          <w:tcPr>
            <w:tcW w:w="2347" w:type="dxa"/>
            <w:vAlign w:val="center"/>
          </w:tcPr>
          <w:p>
            <w:pPr>
              <w:jc w:val="center"/>
              <w:rPr>
                <w:sz w:val="22"/>
                <w:szCs w:val="22"/>
              </w:rPr>
            </w:pPr>
            <w:r>
              <w:rPr>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sz w:val="22"/>
                <w:szCs w:val="22"/>
              </w:rPr>
            </w:pPr>
          </w:p>
        </w:tc>
        <w:tc>
          <w:tcPr>
            <w:tcW w:w="3969" w:type="dxa"/>
            <w:vAlign w:val="center"/>
          </w:tcPr>
          <w:p>
            <w:pPr>
              <w:jc w:val="center"/>
              <w:rPr>
                <w:sz w:val="22"/>
                <w:szCs w:val="22"/>
              </w:rPr>
            </w:pPr>
            <w:r>
              <w:rPr>
                <w:rFonts w:hint="eastAsia"/>
                <w:sz w:val="22"/>
                <w:szCs w:val="22"/>
              </w:rPr>
              <w:t>外专业教师</w:t>
            </w:r>
          </w:p>
        </w:tc>
        <w:tc>
          <w:tcPr>
            <w:tcW w:w="2347" w:type="dxa"/>
            <w:vAlign w:val="center"/>
          </w:tcPr>
          <w:p>
            <w:pPr>
              <w:jc w:val="center"/>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sz w:val="22"/>
                <w:szCs w:val="22"/>
              </w:rPr>
            </w:pPr>
          </w:p>
        </w:tc>
        <w:tc>
          <w:tcPr>
            <w:tcW w:w="3969" w:type="dxa"/>
            <w:vAlign w:val="center"/>
          </w:tcPr>
          <w:p>
            <w:pPr>
              <w:jc w:val="center"/>
              <w:rPr>
                <w:sz w:val="22"/>
                <w:szCs w:val="22"/>
              </w:rPr>
            </w:pPr>
            <w:bookmarkStart w:id="38" w:name="OLE_LINK21"/>
            <w:r>
              <w:rPr>
                <w:rFonts w:hint="eastAsia"/>
                <w:sz w:val="22"/>
                <w:szCs w:val="22"/>
              </w:rPr>
              <w:t>校外指导教师</w:t>
            </w:r>
            <w:bookmarkEnd w:id="38"/>
          </w:p>
        </w:tc>
        <w:tc>
          <w:tcPr>
            <w:tcW w:w="2347" w:type="dxa"/>
            <w:vAlign w:val="center"/>
          </w:tcPr>
          <w:p>
            <w:pPr>
              <w:jc w:val="center"/>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9" w:type="dxa"/>
            <w:gridSpan w:val="2"/>
            <w:vAlign w:val="center"/>
          </w:tcPr>
          <w:p>
            <w:pPr>
              <w:jc w:val="center"/>
              <w:rPr>
                <w:sz w:val="22"/>
                <w:szCs w:val="22"/>
              </w:rPr>
            </w:pPr>
            <w:r>
              <w:rPr>
                <w:rFonts w:hint="eastAsia"/>
                <w:sz w:val="22"/>
                <w:szCs w:val="22"/>
              </w:rPr>
              <w:t>每名教师平均指导毕业生数</w:t>
            </w:r>
          </w:p>
        </w:tc>
        <w:tc>
          <w:tcPr>
            <w:tcW w:w="2347" w:type="dxa"/>
            <w:vAlign w:val="center"/>
          </w:tcPr>
          <w:p>
            <w:pPr>
              <w:jc w:val="center"/>
              <w:rPr>
                <w:sz w:val="22"/>
                <w:szCs w:val="22"/>
              </w:rPr>
            </w:pPr>
            <w:r>
              <w:rPr>
                <w:sz w:val="22"/>
                <w:szCs w:val="22"/>
              </w:rPr>
              <w:t>7.25</w:t>
            </w:r>
          </w:p>
        </w:tc>
      </w:tr>
    </w:tbl>
    <w:p/>
    <w:p>
      <w:r>
        <w:rPr>
          <w:rFonts w:hint="eastAsia"/>
        </w:rPr>
        <w:t>※以上数据来源：表</w:t>
      </w:r>
      <w:r>
        <w:t xml:space="preserve"> 5-2</w:t>
      </w:r>
      <w:r>
        <w:rPr>
          <w:rFonts w:hint="eastAsia"/>
        </w:rPr>
        <w:t>学生毕业综合训练情况</w:t>
      </w:r>
    </w:p>
    <w:p/>
    <w:p>
      <w:pPr>
        <w:snapToGrid w:val="0"/>
        <w:spacing w:line="360" w:lineRule="auto"/>
        <w:ind w:firstLine="480" w:firstLineChars="200"/>
        <w:jc w:val="both"/>
      </w:pPr>
      <w:r>
        <w:rPr>
          <w:rFonts w:hint="eastAsia"/>
        </w:rPr>
        <w:t>要求毕业设计（论文）选题突出毕业设计联系实际，有</w:t>
      </w:r>
      <w:r>
        <w:t>50%以上的毕业设计（论文）在实验、实</w:t>
      </w:r>
      <w:r>
        <w:rPr>
          <w:color w:val="000000" w:themeColor="text1"/>
          <w14:textFill>
            <w14:solidFill>
              <w14:schemeClr w14:val="tx1"/>
            </w14:solidFill>
          </w14:textFill>
        </w:rPr>
        <w:t>习、工程实践和社会实践中完成。每位教师指导学生的人数不超过6人，要求指导教师每周至少与学生见面交流1次。学院、学校分别进行初期、中期及终期检查，保证论文带教质量。近4年荣获优秀毕业论文共7</w:t>
      </w:r>
      <w:r>
        <w:t>人。2018~2019年</w:t>
      </w:r>
      <w:r>
        <w:rPr>
          <w:rFonts w:hint="eastAsia"/>
        </w:rPr>
        <w:t>两年每年获评</w:t>
      </w:r>
      <w:r>
        <w:t>市级优秀毕业生1人、2020~2023年</w:t>
      </w:r>
      <w:r>
        <w:rPr>
          <w:rFonts w:hint="eastAsia"/>
        </w:rPr>
        <w:t>四年每年获评</w:t>
      </w:r>
      <w:r>
        <w:t>市级优秀毕业生2人。</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44" w:type="dxa"/>
          </w:tcPr>
          <w:p>
            <w:pPr>
              <w:jc w:val="center"/>
            </w:pPr>
            <w:r>
              <w:drawing>
                <wp:inline distT="0" distB="0" distL="114300" distR="114300">
                  <wp:extent cx="3712210" cy="2087245"/>
                  <wp:effectExtent l="0" t="0" r="2540"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3727723" cy="20962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44" w:type="dxa"/>
          </w:tcPr>
          <w:p>
            <w:pPr>
              <w:jc w:val="center"/>
            </w:pPr>
            <w:r>
              <w:drawing>
                <wp:inline distT="0" distB="0" distL="114300" distR="114300">
                  <wp:extent cx="3797935" cy="2136140"/>
                  <wp:effectExtent l="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4"/>
                          <a:stretch>
                            <a:fillRect/>
                          </a:stretch>
                        </pic:blipFill>
                        <pic:spPr>
                          <a:xfrm>
                            <a:off x="0" y="0"/>
                            <a:ext cx="3802897" cy="2139198"/>
                          </a:xfrm>
                          <a:prstGeom prst="rect">
                            <a:avLst/>
                          </a:prstGeom>
                          <a:noFill/>
                          <a:ln>
                            <a:noFill/>
                          </a:ln>
                        </pic:spPr>
                      </pic:pic>
                    </a:graphicData>
                  </a:graphic>
                </wp:inline>
              </w:drawing>
            </w:r>
          </w:p>
        </w:tc>
      </w:tr>
    </w:tbl>
    <w:p>
      <w:pPr>
        <w:snapToGrid w:val="0"/>
        <w:spacing w:line="360" w:lineRule="auto"/>
        <w:jc w:val="center"/>
      </w:pPr>
      <w:r>
        <w:rPr>
          <w:rFonts w:hint="eastAsia"/>
        </w:rPr>
        <w:t>图：23级毕业论文答辩</w:t>
      </w:r>
    </w:p>
    <w:p>
      <w:pPr>
        <w:pStyle w:val="4"/>
        <w:rPr>
          <w:rFonts w:ascii="宋体" w:hAnsi="宋体" w:eastAsia="宋体"/>
          <w:b w:val="0"/>
          <w:bCs w:val="0"/>
          <w:sz w:val="24"/>
          <w:szCs w:val="24"/>
        </w:rPr>
      </w:pPr>
      <w:bookmarkStart w:id="39" w:name="_Toc155617888"/>
      <w:r>
        <w:rPr>
          <w:rFonts w:ascii="宋体" w:hAnsi="宋体" w:eastAsia="宋体"/>
          <w:b w:val="0"/>
          <w:bCs w:val="0"/>
          <w:sz w:val="24"/>
          <w:szCs w:val="24"/>
        </w:rPr>
        <w:t>3.10</w:t>
      </w:r>
      <w:r>
        <w:rPr>
          <w:rFonts w:hint="eastAsia" w:ascii="宋体" w:hAnsi="宋体" w:eastAsia="宋体"/>
          <w:b w:val="0"/>
          <w:bCs w:val="0"/>
          <w:sz w:val="24"/>
          <w:szCs w:val="24"/>
        </w:rPr>
        <w:t>教学改革</w:t>
      </w:r>
      <w:bookmarkEnd w:id="39"/>
    </w:p>
    <w:p>
      <w:pPr>
        <w:shd w:val="clear" w:color="auto" w:fill="FFFFFF"/>
        <w:snapToGrid w:val="0"/>
        <w:spacing w:line="360" w:lineRule="auto"/>
        <w:ind w:firstLine="480" w:firstLineChars="200"/>
        <w:jc w:val="both"/>
        <w:rPr>
          <w:bCs/>
        </w:rPr>
      </w:pPr>
      <w:r>
        <w:rPr>
          <w:rFonts w:hint="eastAsia"/>
          <w:bCs/>
        </w:rPr>
        <w:t>东方管理专业围绕以“学生为本”的理念，以“有利于促进大学生自我规划学习、自主安排学习进程和学习活动，激发大学生学习的积极性和有效性”为目标进行教学运行机制的设计和规划，配合我校完全学分制和全程导师制的实施进行了一系列的教学改革，取得了显著的成果。</w:t>
      </w:r>
    </w:p>
    <w:p>
      <w:pPr>
        <w:snapToGrid w:val="0"/>
        <w:spacing w:line="360" w:lineRule="auto"/>
        <w:ind w:firstLine="480" w:firstLineChars="200"/>
      </w:pPr>
      <w:r>
        <w:rPr>
          <w:rFonts w:hint="eastAsia"/>
          <w:bCs/>
        </w:rPr>
        <w:t>本专业近3年至少有80%的教师参与教学研究与改革，一半以上教师正式发表教改论文，多位教师主持校级以上教学改革或建设项目。本专业教师重视教学内容建设和方法改革。《管理学》、《东方管理学概论》、《企业文化》、《华商管理学》等核心课程采用案例分析、学生汇报、小组讨论、管理沙龙等教学方法进行教学。采用多媒体、计算机网络资源等辅助手段进行教学，聘请校内外专家为学生开设讲座，前往企业进行调研，开展双语教学等。</w:t>
      </w:r>
    </w:p>
    <w:p>
      <w:pPr>
        <w:pStyle w:val="3"/>
        <w:pageBreakBefore/>
        <w:spacing w:after="120" w:line="415" w:lineRule="auto"/>
        <w:jc w:val="left"/>
        <w:rPr>
          <w:rFonts w:ascii="宋体" w:hAnsi="宋体"/>
          <w:sz w:val="28"/>
          <w:szCs w:val="28"/>
        </w:rPr>
      </w:pPr>
      <w:bookmarkStart w:id="40" w:name="_Toc155617889"/>
      <w:r>
        <w:rPr>
          <w:rFonts w:ascii="宋体" w:hAnsi="宋体"/>
          <w:sz w:val="28"/>
          <w:szCs w:val="28"/>
        </w:rPr>
        <w:t>4.教师队伍</w:t>
      </w:r>
      <w:bookmarkEnd w:id="40"/>
      <w:r>
        <w:rPr>
          <w:rFonts w:ascii="宋体" w:hAnsi="宋体"/>
          <w:sz w:val="28"/>
          <w:szCs w:val="28"/>
        </w:rPr>
        <w:t xml:space="preserve"> </w:t>
      </w:r>
    </w:p>
    <w:p>
      <w:pPr>
        <w:pStyle w:val="4"/>
        <w:rPr>
          <w:rFonts w:ascii="宋体" w:hAnsi="宋体" w:eastAsia="宋体"/>
          <w:b w:val="0"/>
          <w:bCs w:val="0"/>
          <w:sz w:val="24"/>
          <w:szCs w:val="24"/>
        </w:rPr>
      </w:pPr>
      <w:bookmarkStart w:id="41" w:name="_Toc155617890"/>
      <w:r>
        <w:rPr>
          <w:rFonts w:ascii="宋体" w:hAnsi="宋体" w:eastAsia="宋体"/>
          <w:b w:val="0"/>
          <w:bCs w:val="0"/>
          <w:sz w:val="24"/>
          <w:szCs w:val="24"/>
        </w:rPr>
        <w:t>4.1专业教师数量与结构</w:t>
      </w:r>
      <w:bookmarkEnd w:id="41"/>
    </w:p>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4.1.1专业教师数量</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1843"/>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sz w:val="21"/>
                <w:szCs w:val="21"/>
              </w:rPr>
            </w:pPr>
            <w:r>
              <w:rPr>
                <w:rFonts w:hint="eastAsia"/>
                <w:sz w:val="21"/>
                <w:szCs w:val="21"/>
              </w:rPr>
              <w:t>项目</w:t>
            </w:r>
          </w:p>
        </w:tc>
        <w:tc>
          <w:tcPr>
            <w:tcW w:w="1843" w:type="dxa"/>
            <w:vAlign w:val="center"/>
          </w:tcPr>
          <w:p>
            <w:pPr>
              <w:jc w:val="center"/>
              <w:rPr>
                <w:sz w:val="21"/>
                <w:szCs w:val="21"/>
              </w:rPr>
            </w:pPr>
            <w:r>
              <w:rPr>
                <w:rFonts w:hint="eastAsia"/>
                <w:sz w:val="21"/>
                <w:szCs w:val="21"/>
              </w:rPr>
              <w:t>数量</w:t>
            </w:r>
          </w:p>
        </w:tc>
        <w:tc>
          <w:tcPr>
            <w:tcW w:w="1638" w:type="dxa"/>
            <w:vAlign w:val="center"/>
          </w:tcPr>
          <w:p>
            <w:pPr>
              <w:jc w:val="center"/>
              <w:rPr>
                <w:sz w:val="21"/>
                <w:szCs w:val="21"/>
              </w:rPr>
            </w:pPr>
            <w:r>
              <w:rPr>
                <w:rFonts w:hint="eastAsia"/>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sz w:val="21"/>
                <w:szCs w:val="21"/>
              </w:rPr>
            </w:pPr>
            <w:r>
              <w:rPr>
                <w:rFonts w:hint="eastAsia"/>
                <w:sz w:val="21"/>
                <w:szCs w:val="21"/>
              </w:rPr>
              <w:t>专业教师总数</w:t>
            </w:r>
          </w:p>
        </w:tc>
        <w:tc>
          <w:tcPr>
            <w:tcW w:w="1843" w:type="dxa"/>
            <w:vAlign w:val="center"/>
          </w:tcPr>
          <w:p>
            <w:pPr>
              <w:jc w:val="center"/>
              <w:rPr>
                <w:sz w:val="21"/>
                <w:szCs w:val="21"/>
              </w:rPr>
            </w:pPr>
            <w:r>
              <w:rPr>
                <w:sz w:val="21"/>
                <w:szCs w:val="21"/>
              </w:rPr>
              <w:t>11</w:t>
            </w:r>
            <w:bookmarkStart w:id="42" w:name="OLE_LINK1"/>
            <w:bookmarkEnd w:id="42"/>
          </w:p>
        </w:tc>
        <w:tc>
          <w:tcPr>
            <w:tcW w:w="1638" w:type="dxa"/>
            <w:vAlign w:val="center"/>
          </w:tcPr>
          <w:p>
            <w:pPr>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sz w:val="21"/>
                <w:szCs w:val="21"/>
              </w:rPr>
            </w:pPr>
            <w:r>
              <w:rPr>
                <w:rFonts w:hint="eastAsia"/>
                <w:sz w:val="21"/>
                <w:szCs w:val="21"/>
              </w:rPr>
              <w:t>其中：</w:t>
            </w:r>
            <w:bookmarkStart w:id="43" w:name="OLE_LINK26"/>
            <w:r>
              <w:rPr>
                <w:rFonts w:hint="eastAsia"/>
                <w:sz w:val="21"/>
                <w:szCs w:val="21"/>
              </w:rPr>
              <w:t>近五年新增教师</w:t>
            </w:r>
            <w:bookmarkEnd w:id="43"/>
          </w:p>
        </w:tc>
        <w:tc>
          <w:tcPr>
            <w:tcW w:w="1843" w:type="dxa"/>
            <w:vAlign w:val="center"/>
          </w:tcPr>
          <w:p>
            <w:pPr>
              <w:jc w:val="center"/>
              <w:rPr>
                <w:sz w:val="21"/>
                <w:szCs w:val="21"/>
              </w:rPr>
            </w:pPr>
            <w:r>
              <w:rPr>
                <w:sz w:val="21"/>
                <w:szCs w:val="21"/>
              </w:rPr>
              <w:t>1</w:t>
            </w:r>
            <w:bookmarkStart w:id="44" w:name="OLE_LINK23"/>
            <w:bookmarkEnd w:id="44"/>
          </w:p>
        </w:tc>
        <w:tc>
          <w:tcPr>
            <w:tcW w:w="1638" w:type="dxa"/>
            <w:vAlign w:val="center"/>
          </w:tcPr>
          <w:p>
            <w:pPr>
              <w:jc w:val="center"/>
              <w:rPr>
                <w:sz w:val="21"/>
                <w:szCs w:val="21"/>
              </w:rPr>
            </w:pPr>
            <w:r>
              <w:rPr>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sz w:val="21"/>
                <w:szCs w:val="21"/>
              </w:rPr>
            </w:pPr>
            <w:r>
              <w:rPr>
                <w:rFonts w:hint="eastAsia"/>
                <w:sz w:val="21"/>
                <w:szCs w:val="21"/>
              </w:rPr>
              <w:t>双师双能型教师</w:t>
            </w:r>
          </w:p>
        </w:tc>
        <w:tc>
          <w:tcPr>
            <w:tcW w:w="1843" w:type="dxa"/>
            <w:vAlign w:val="center"/>
          </w:tcPr>
          <w:p>
            <w:pPr>
              <w:jc w:val="center"/>
              <w:rPr>
                <w:sz w:val="21"/>
                <w:szCs w:val="21"/>
              </w:rPr>
            </w:pPr>
            <w:r>
              <w:rPr>
                <w:sz w:val="21"/>
                <w:szCs w:val="21"/>
              </w:rPr>
              <w:t>5</w:t>
            </w:r>
          </w:p>
        </w:tc>
        <w:tc>
          <w:tcPr>
            <w:tcW w:w="1638" w:type="dxa"/>
            <w:vAlign w:val="center"/>
          </w:tcPr>
          <w:p>
            <w:pPr>
              <w:jc w:val="center"/>
              <w:rPr>
                <w:sz w:val="21"/>
                <w:szCs w:val="21"/>
              </w:rPr>
            </w:pPr>
            <w:r>
              <w:rPr>
                <w:sz w:val="21"/>
                <w:szCs w:val="21"/>
              </w:rPr>
              <w:t>45.45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sz w:val="21"/>
                <w:szCs w:val="21"/>
              </w:rPr>
            </w:pPr>
            <w:r>
              <w:rPr>
                <w:rFonts w:hint="eastAsia"/>
                <w:sz w:val="21"/>
                <w:szCs w:val="21"/>
              </w:rPr>
              <w:t>具有行业企业背景</w:t>
            </w:r>
          </w:p>
        </w:tc>
        <w:tc>
          <w:tcPr>
            <w:tcW w:w="1843" w:type="dxa"/>
            <w:vAlign w:val="center"/>
          </w:tcPr>
          <w:p>
            <w:pPr>
              <w:jc w:val="center"/>
              <w:rPr>
                <w:sz w:val="21"/>
                <w:szCs w:val="21"/>
              </w:rPr>
            </w:pPr>
            <w:r>
              <w:rPr>
                <w:sz w:val="21"/>
                <w:szCs w:val="21"/>
              </w:rPr>
              <w:t>1</w:t>
            </w:r>
          </w:p>
        </w:tc>
        <w:tc>
          <w:tcPr>
            <w:tcW w:w="1638" w:type="dxa"/>
            <w:vAlign w:val="center"/>
          </w:tcPr>
          <w:p>
            <w:pPr>
              <w:jc w:val="center"/>
              <w:rPr>
                <w:sz w:val="21"/>
                <w:szCs w:val="21"/>
              </w:rPr>
            </w:pPr>
            <w:r>
              <w:rPr>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sz w:val="21"/>
                <w:szCs w:val="21"/>
              </w:rPr>
            </w:pPr>
            <w:r>
              <w:rPr>
                <w:rFonts w:hint="eastAsia"/>
                <w:sz w:val="21"/>
                <w:szCs w:val="21"/>
              </w:rPr>
              <w:t>高级职称教师数量</w:t>
            </w:r>
          </w:p>
        </w:tc>
        <w:tc>
          <w:tcPr>
            <w:tcW w:w="1843" w:type="dxa"/>
            <w:vAlign w:val="center"/>
          </w:tcPr>
          <w:p>
            <w:pPr>
              <w:jc w:val="center"/>
              <w:rPr>
                <w:sz w:val="21"/>
                <w:szCs w:val="21"/>
              </w:rPr>
            </w:pPr>
            <w:r>
              <w:rPr>
                <w:sz w:val="21"/>
                <w:szCs w:val="21"/>
              </w:rPr>
              <w:t>2</w:t>
            </w:r>
          </w:p>
        </w:tc>
        <w:tc>
          <w:tcPr>
            <w:tcW w:w="1638" w:type="dxa"/>
            <w:vAlign w:val="center"/>
          </w:tcPr>
          <w:p>
            <w:pPr>
              <w:jc w:val="center"/>
              <w:rPr>
                <w:sz w:val="21"/>
                <w:szCs w:val="21"/>
              </w:rPr>
            </w:pPr>
            <w:r>
              <w:rPr>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sz w:val="21"/>
                <w:szCs w:val="21"/>
              </w:rPr>
            </w:pPr>
            <w:r>
              <w:rPr>
                <w:rFonts w:hint="eastAsia"/>
                <w:sz w:val="21"/>
                <w:szCs w:val="21"/>
              </w:rPr>
              <w:t>学年内承担专业课教学的本专业教师数</w:t>
            </w:r>
          </w:p>
        </w:tc>
        <w:tc>
          <w:tcPr>
            <w:tcW w:w="1843" w:type="dxa"/>
            <w:vAlign w:val="center"/>
          </w:tcPr>
          <w:p>
            <w:pPr>
              <w:jc w:val="center"/>
              <w:rPr>
                <w:sz w:val="21"/>
                <w:szCs w:val="21"/>
              </w:rPr>
            </w:pPr>
            <w:r>
              <w:rPr>
                <w:sz w:val="21"/>
                <w:szCs w:val="21"/>
              </w:rPr>
              <w:t>8</w:t>
            </w:r>
            <w:bookmarkStart w:id="45" w:name="OLE_LINK24"/>
            <w:bookmarkEnd w:id="45"/>
          </w:p>
        </w:tc>
        <w:tc>
          <w:tcPr>
            <w:tcW w:w="1638" w:type="dxa"/>
            <w:vAlign w:val="center"/>
          </w:tcPr>
          <w:p>
            <w:pPr>
              <w:jc w:val="center"/>
              <w:rPr>
                <w:sz w:val="21"/>
                <w:szCs w:val="21"/>
              </w:rPr>
            </w:pPr>
            <w:r>
              <w:rPr>
                <w:sz w:val="21"/>
                <w:szCs w:val="21"/>
              </w:rPr>
              <w:t>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sz w:val="21"/>
                <w:szCs w:val="21"/>
              </w:rPr>
            </w:pPr>
            <w:r>
              <w:rPr>
                <w:rFonts w:hint="eastAsia"/>
                <w:sz w:val="21"/>
                <w:szCs w:val="22"/>
              </w:rPr>
              <w:t>教授数量</w:t>
            </w:r>
          </w:p>
        </w:tc>
        <w:tc>
          <w:tcPr>
            <w:tcW w:w="1843" w:type="dxa"/>
            <w:vAlign w:val="center"/>
          </w:tcPr>
          <w:p>
            <w:pPr>
              <w:jc w:val="center"/>
              <w:rPr>
                <w:sz w:val="21"/>
                <w:szCs w:val="21"/>
              </w:rPr>
            </w:pPr>
            <w:r>
              <w:rPr>
                <w:sz w:val="21"/>
                <w:szCs w:val="21"/>
              </w:rPr>
              <w:t>1</w:t>
            </w:r>
            <w:bookmarkStart w:id="46" w:name="OLE_LINK25"/>
            <w:bookmarkEnd w:id="46"/>
          </w:p>
        </w:tc>
        <w:tc>
          <w:tcPr>
            <w:tcW w:w="1638" w:type="dxa"/>
            <w:vAlign w:val="center"/>
          </w:tcPr>
          <w:p>
            <w:pPr>
              <w:jc w:val="center"/>
              <w:rPr>
                <w:sz w:val="21"/>
                <w:szCs w:val="21"/>
              </w:rPr>
            </w:pPr>
            <w:r>
              <w:rPr>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sz w:val="21"/>
                <w:szCs w:val="21"/>
              </w:rPr>
            </w:pPr>
            <w:r>
              <w:rPr>
                <w:rFonts w:hint="eastAsia"/>
                <w:sz w:val="21"/>
                <w:szCs w:val="21"/>
              </w:rPr>
              <w:t>学年内承担专业课课程的教授数量</w:t>
            </w:r>
          </w:p>
        </w:tc>
        <w:tc>
          <w:tcPr>
            <w:tcW w:w="1843" w:type="dxa"/>
            <w:vAlign w:val="center"/>
          </w:tcPr>
          <w:p>
            <w:pPr>
              <w:jc w:val="center"/>
              <w:rPr>
                <w:sz w:val="21"/>
                <w:szCs w:val="21"/>
              </w:rPr>
            </w:pPr>
            <w:r>
              <w:rPr>
                <w:sz w:val="21"/>
                <w:szCs w:val="21"/>
              </w:rPr>
              <w:t>1</w:t>
            </w:r>
          </w:p>
        </w:tc>
        <w:tc>
          <w:tcPr>
            <w:tcW w:w="1638" w:type="dxa"/>
            <w:vAlign w:val="center"/>
          </w:tcPr>
          <w:p>
            <w:pPr>
              <w:jc w:val="center"/>
              <w:rPr>
                <w:sz w:val="21"/>
                <w:szCs w:val="21"/>
              </w:rPr>
            </w:pPr>
            <w:r>
              <w:rPr>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sz w:val="21"/>
                <w:szCs w:val="21"/>
              </w:rPr>
            </w:pPr>
            <w:r>
              <w:rPr>
                <w:rFonts w:hint="eastAsia"/>
                <w:sz w:val="21"/>
                <w:szCs w:val="21"/>
              </w:rPr>
              <w:t>学年内</w:t>
            </w:r>
            <w:r>
              <w:rPr>
                <w:rFonts w:hint="eastAsia"/>
                <w:sz w:val="21"/>
                <w:szCs w:val="22"/>
              </w:rPr>
              <w:t>低年级授课教授数量</w:t>
            </w:r>
          </w:p>
        </w:tc>
        <w:tc>
          <w:tcPr>
            <w:tcW w:w="1843" w:type="dxa"/>
            <w:vAlign w:val="center"/>
          </w:tcPr>
          <w:p>
            <w:pPr>
              <w:jc w:val="center"/>
              <w:rPr>
                <w:sz w:val="21"/>
                <w:szCs w:val="21"/>
              </w:rPr>
            </w:pPr>
            <w:r>
              <w:rPr>
                <w:sz w:val="21"/>
                <w:szCs w:val="21"/>
              </w:rPr>
              <w:t>0</w:t>
            </w:r>
            <w:bookmarkStart w:id="47" w:name="OLE_LINK22"/>
            <w:bookmarkEnd w:id="47"/>
          </w:p>
        </w:tc>
        <w:tc>
          <w:tcPr>
            <w:tcW w:w="1638" w:type="dxa"/>
            <w:vAlign w:val="center"/>
          </w:tcPr>
          <w:p>
            <w:pPr>
              <w:jc w:val="center"/>
              <w:rPr>
                <w:sz w:val="21"/>
                <w:szCs w:val="21"/>
              </w:rPr>
            </w:pPr>
            <w:r>
              <w:rPr>
                <w:sz w:val="21"/>
                <w:szCs w:val="21"/>
              </w:rPr>
              <w:t>0</w:t>
            </w:r>
          </w:p>
        </w:tc>
      </w:tr>
    </w:tbl>
    <w:p>
      <w:pPr>
        <w:rPr>
          <w:sz w:val="21"/>
          <w:szCs w:val="21"/>
        </w:rPr>
      </w:pPr>
      <w:r>
        <w:rPr>
          <w:rFonts w:hint="eastAsia"/>
        </w:rPr>
        <w:t>*</w:t>
      </w:r>
      <w:r>
        <w:rPr>
          <w:rFonts w:hint="eastAsia"/>
          <w:sz w:val="21"/>
          <w:szCs w:val="21"/>
        </w:rPr>
        <w:t>学年内承担专业课课程的教授比例、学年内</w:t>
      </w:r>
      <w:r>
        <w:rPr>
          <w:rFonts w:hint="eastAsia"/>
          <w:sz w:val="21"/>
          <w:szCs w:val="22"/>
        </w:rPr>
        <w:t>低年级授课教授</w:t>
      </w:r>
      <w:r>
        <w:rPr>
          <w:rFonts w:hint="eastAsia"/>
          <w:sz w:val="21"/>
          <w:szCs w:val="21"/>
        </w:rPr>
        <w:t>比例 为占专业教授数量的比例。本表仅统计本专业教师。</w:t>
      </w:r>
    </w:p>
    <w:p/>
    <w:p>
      <w:r>
        <w:rPr>
          <w:rFonts w:hint="eastAsia"/>
        </w:rPr>
        <w:t>※</w:t>
      </w:r>
      <w:r>
        <w:t>以上数据来源：表 1-5-1 教职工基本信息、表 5-1-1 开课情况、表 5-1-2 专业课教学实施情况。</w:t>
      </w:r>
    </w:p>
    <w:p/>
    <w:p>
      <w:pPr>
        <w:snapToGrid w:val="0"/>
        <w:spacing w:line="360" w:lineRule="auto"/>
        <w:ind w:firstLine="480" w:firstLineChars="200"/>
      </w:pPr>
      <w:r>
        <w:rPr>
          <w:rFonts w:hint="eastAsia"/>
        </w:rPr>
        <w:t>专业师资引进和培养坚持优化专业结构，形成了一个颇具开放性、研究性、应用性，主动对接企业的实力雄厚师资队伍。专业已形成以学科和专业方向带头人</w:t>
      </w:r>
      <w:r>
        <w:rPr>
          <w:rFonts w:hint="eastAsia"/>
          <w:color w:val="000000" w:themeColor="text1"/>
          <w14:textFill>
            <w14:solidFill>
              <w14:schemeClr w14:val="tx1"/>
            </w14:solidFill>
          </w14:textFill>
        </w:rPr>
        <w:t>为第一层次、学术资深教师和研究骨干为第二层次、中青年教师为第三层次的东方管理教学梯队。目前，担任本专业主要课程教师共16人，其中专业专任专职教师11人，兼职教师5人，均为博士研究生学历。其中于凯教授、彭兴伟、闫虹珏承担的课程均为学校重要</w:t>
      </w:r>
      <w:r>
        <w:rPr>
          <w:rFonts w:hint="eastAsia"/>
        </w:rPr>
        <w:t>平台课程，赢得了各项荣誉。</w:t>
      </w:r>
    </w:p>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4.1.2专业教师结构</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6"/>
        <w:gridCol w:w="1601"/>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48" w:type="dxa"/>
            <w:gridSpan w:val="3"/>
            <w:vAlign w:val="center"/>
          </w:tcPr>
          <w:p>
            <w:pPr>
              <w:jc w:val="center"/>
              <w:rPr>
                <w:sz w:val="21"/>
                <w:szCs w:val="21"/>
              </w:rPr>
            </w:pPr>
            <w:r>
              <w:rPr>
                <w:rFonts w:hint="eastAsia"/>
                <w:sz w:val="21"/>
                <w:szCs w:val="21"/>
              </w:rPr>
              <w:t>项目</w:t>
            </w:r>
          </w:p>
        </w:tc>
        <w:tc>
          <w:tcPr>
            <w:tcW w:w="2074" w:type="dxa"/>
            <w:vAlign w:val="center"/>
          </w:tcPr>
          <w:p>
            <w:pPr>
              <w:jc w:val="center"/>
              <w:rPr>
                <w:sz w:val="21"/>
                <w:szCs w:val="21"/>
              </w:rPr>
            </w:pPr>
            <w:r>
              <w:rPr>
                <w:rFonts w:hint="eastAsia"/>
                <w:sz w:val="21"/>
                <w:szCs w:val="21"/>
              </w:rPr>
              <w:t>数量</w:t>
            </w:r>
          </w:p>
        </w:tc>
        <w:tc>
          <w:tcPr>
            <w:tcW w:w="2074" w:type="dxa"/>
            <w:vAlign w:val="center"/>
          </w:tcPr>
          <w:p>
            <w:pPr>
              <w:jc w:val="center"/>
              <w:rPr>
                <w:sz w:val="21"/>
                <w:szCs w:val="21"/>
              </w:rPr>
            </w:pPr>
            <w:r>
              <w:rPr>
                <w:rFonts w:hint="eastAsia"/>
                <w:sz w:val="21"/>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48" w:type="dxa"/>
            <w:gridSpan w:val="3"/>
            <w:vAlign w:val="center"/>
          </w:tcPr>
          <w:p>
            <w:pPr>
              <w:jc w:val="center"/>
              <w:rPr>
                <w:sz w:val="21"/>
                <w:szCs w:val="21"/>
              </w:rPr>
            </w:pPr>
            <w:r>
              <w:rPr>
                <w:rFonts w:hint="eastAsia"/>
                <w:sz w:val="21"/>
                <w:szCs w:val="21"/>
              </w:rPr>
              <w:t>专业教师总数</w:t>
            </w:r>
          </w:p>
        </w:tc>
        <w:tc>
          <w:tcPr>
            <w:tcW w:w="2074" w:type="dxa"/>
            <w:vAlign w:val="center"/>
          </w:tcPr>
          <w:p>
            <w:pPr>
              <w:jc w:val="center"/>
              <w:rPr>
                <w:sz w:val="21"/>
                <w:szCs w:val="21"/>
              </w:rPr>
            </w:pPr>
            <w:r>
              <w:rPr>
                <w:sz w:val="21"/>
                <w:szCs w:val="21"/>
              </w:rPr>
              <w:t>11</w:t>
            </w:r>
          </w:p>
        </w:tc>
        <w:tc>
          <w:tcPr>
            <w:tcW w:w="2074" w:type="dxa"/>
            <w:vAlign w:val="center"/>
          </w:tcPr>
          <w:p>
            <w:pPr>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sz w:val="21"/>
                <w:szCs w:val="21"/>
              </w:rPr>
            </w:pPr>
            <w:r>
              <w:rPr>
                <w:rFonts w:hint="eastAsia"/>
                <w:sz w:val="21"/>
                <w:szCs w:val="21"/>
              </w:rPr>
              <w:t>职称</w:t>
            </w:r>
          </w:p>
        </w:tc>
        <w:tc>
          <w:tcPr>
            <w:tcW w:w="2877" w:type="dxa"/>
            <w:gridSpan w:val="2"/>
            <w:vAlign w:val="center"/>
          </w:tcPr>
          <w:p>
            <w:pPr>
              <w:jc w:val="center"/>
              <w:rPr>
                <w:sz w:val="21"/>
                <w:szCs w:val="21"/>
              </w:rPr>
            </w:pPr>
            <w:r>
              <w:rPr>
                <w:rFonts w:hint="eastAsia"/>
                <w:sz w:val="21"/>
                <w:szCs w:val="21"/>
              </w:rPr>
              <w:t>教授</w:t>
            </w:r>
          </w:p>
        </w:tc>
        <w:tc>
          <w:tcPr>
            <w:tcW w:w="2074" w:type="dxa"/>
            <w:vAlign w:val="center"/>
          </w:tcPr>
          <w:p>
            <w:pPr>
              <w:jc w:val="center"/>
              <w:rPr>
                <w:sz w:val="21"/>
                <w:szCs w:val="21"/>
              </w:rPr>
            </w:pPr>
            <w:r>
              <w:rPr>
                <w:sz w:val="21"/>
                <w:szCs w:val="21"/>
              </w:rPr>
              <w:t>1</w:t>
            </w:r>
          </w:p>
        </w:tc>
        <w:tc>
          <w:tcPr>
            <w:tcW w:w="2074" w:type="dxa"/>
            <w:vAlign w:val="center"/>
          </w:tcPr>
          <w:p>
            <w:pPr>
              <w:jc w:val="center"/>
              <w:rPr>
                <w:sz w:val="21"/>
                <w:szCs w:val="21"/>
              </w:rPr>
            </w:pPr>
            <w:r>
              <w:rPr>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1"/>
              </w:rPr>
              <w:t>副教授</w:t>
            </w:r>
          </w:p>
        </w:tc>
        <w:tc>
          <w:tcPr>
            <w:tcW w:w="2074" w:type="dxa"/>
            <w:vAlign w:val="center"/>
          </w:tcPr>
          <w:p>
            <w:pPr>
              <w:jc w:val="center"/>
              <w:rPr>
                <w:sz w:val="21"/>
                <w:szCs w:val="21"/>
              </w:rPr>
            </w:pPr>
            <w:r>
              <w:rPr>
                <w:sz w:val="21"/>
                <w:szCs w:val="21"/>
              </w:rPr>
              <w:t>1</w:t>
            </w:r>
          </w:p>
        </w:tc>
        <w:tc>
          <w:tcPr>
            <w:tcW w:w="2074" w:type="dxa"/>
            <w:vAlign w:val="center"/>
          </w:tcPr>
          <w:p>
            <w:pPr>
              <w:jc w:val="center"/>
              <w:rPr>
                <w:sz w:val="21"/>
                <w:szCs w:val="21"/>
              </w:rPr>
            </w:pPr>
            <w:r>
              <w:rPr>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1"/>
              </w:rPr>
              <w:t>讲师</w:t>
            </w:r>
          </w:p>
        </w:tc>
        <w:tc>
          <w:tcPr>
            <w:tcW w:w="2074" w:type="dxa"/>
            <w:vAlign w:val="center"/>
          </w:tcPr>
          <w:p>
            <w:pPr>
              <w:jc w:val="center"/>
              <w:rPr>
                <w:sz w:val="21"/>
                <w:szCs w:val="21"/>
              </w:rPr>
            </w:pPr>
            <w:r>
              <w:rPr>
                <w:sz w:val="21"/>
                <w:szCs w:val="21"/>
              </w:rPr>
              <w:t>7</w:t>
            </w:r>
          </w:p>
        </w:tc>
        <w:tc>
          <w:tcPr>
            <w:tcW w:w="2074" w:type="dxa"/>
            <w:vAlign w:val="center"/>
          </w:tcPr>
          <w:p>
            <w:pPr>
              <w:jc w:val="center"/>
              <w:rPr>
                <w:sz w:val="21"/>
                <w:szCs w:val="21"/>
              </w:rPr>
            </w:pPr>
            <w:r>
              <w:rPr>
                <w:sz w:val="21"/>
                <w:szCs w:val="21"/>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1"/>
              </w:rPr>
              <w:t>助教</w:t>
            </w:r>
          </w:p>
        </w:tc>
        <w:tc>
          <w:tcPr>
            <w:tcW w:w="2074" w:type="dxa"/>
            <w:vAlign w:val="center"/>
          </w:tcPr>
          <w:p>
            <w:pPr>
              <w:jc w:val="center"/>
              <w:rPr>
                <w:sz w:val="21"/>
                <w:szCs w:val="21"/>
              </w:rPr>
            </w:pPr>
            <w:r>
              <w:rPr>
                <w:sz w:val="21"/>
                <w:szCs w:val="21"/>
              </w:rPr>
              <w:t>0</w:t>
            </w:r>
          </w:p>
        </w:tc>
        <w:tc>
          <w:tcPr>
            <w:tcW w:w="2074"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1"/>
              </w:rPr>
              <w:t>其他正高级</w:t>
            </w:r>
          </w:p>
        </w:tc>
        <w:tc>
          <w:tcPr>
            <w:tcW w:w="2074" w:type="dxa"/>
            <w:vAlign w:val="center"/>
          </w:tcPr>
          <w:p>
            <w:pPr>
              <w:jc w:val="center"/>
              <w:rPr>
                <w:sz w:val="21"/>
                <w:szCs w:val="21"/>
              </w:rPr>
            </w:pPr>
            <w:r>
              <w:rPr>
                <w:sz w:val="21"/>
                <w:szCs w:val="21"/>
              </w:rPr>
              <w:t>0</w:t>
            </w:r>
          </w:p>
        </w:tc>
        <w:tc>
          <w:tcPr>
            <w:tcW w:w="2074"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1"/>
              </w:rPr>
              <w:t>其他副高级</w:t>
            </w:r>
          </w:p>
        </w:tc>
        <w:tc>
          <w:tcPr>
            <w:tcW w:w="2074" w:type="dxa"/>
            <w:vAlign w:val="center"/>
          </w:tcPr>
          <w:p>
            <w:pPr>
              <w:jc w:val="center"/>
              <w:rPr>
                <w:sz w:val="21"/>
                <w:szCs w:val="21"/>
              </w:rPr>
            </w:pPr>
            <w:r>
              <w:rPr>
                <w:sz w:val="21"/>
                <w:szCs w:val="21"/>
              </w:rPr>
              <w:t>0</w:t>
            </w:r>
          </w:p>
        </w:tc>
        <w:tc>
          <w:tcPr>
            <w:tcW w:w="2074"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1"/>
              </w:rPr>
              <w:t>其他中级</w:t>
            </w:r>
          </w:p>
        </w:tc>
        <w:tc>
          <w:tcPr>
            <w:tcW w:w="2074" w:type="dxa"/>
            <w:vAlign w:val="center"/>
          </w:tcPr>
          <w:p>
            <w:pPr>
              <w:jc w:val="center"/>
              <w:rPr>
                <w:sz w:val="21"/>
                <w:szCs w:val="21"/>
              </w:rPr>
            </w:pPr>
            <w:r>
              <w:rPr>
                <w:sz w:val="21"/>
                <w:szCs w:val="21"/>
              </w:rPr>
              <w:t>2</w:t>
            </w:r>
          </w:p>
        </w:tc>
        <w:tc>
          <w:tcPr>
            <w:tcW w:w="2074" w:type="dxa"/>
            <w:vAlign w:val="center"/>
          </w:tcPr>
          <w:p>
            <w:pPr>
              <w:jc w:val="center"/>
              <w:rPr>
                <w:sz w:val="21"/>
                <w:szCs w:val="21"/>
              </w:rPr>
            </w:pPr>
            <w:r>
              <w:rPr>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1"/>
              </w:rPr>
              <w:t>其他初级</w:t>
            </w:r>
          </w:p>
        </w:tc>
        <w:tc>
          <w:tcPr>
            <w:tcW w:w="2074" w:type="dxa"/>
            <w:vAlign w:val="center"/>
          </w:tcPr>
          <w:p>
            <w:pPr>
              <w:jc w:val="center"/>
              <w:rPr>
                <w:sz w:val="21"/>
                <w:szCs w:val="21"/>
              </w:rPr>
            </w:pPr>
            <w:r>
              <w:rPr>
                <w:sz w:val="21"/>
                <w:szCs w:val="21"/>
              </w:rPr>
              <w:t>0</w:t>
            </w:r>
          </w:p>
        </w:tc>
        <w:tc>
          <w:tcPr>
            <w:tcW w:w="2074"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1"/>
              </w:rPr>
              <w:t>未评级</w:t>
            </w:r>
          </w:p>
        </w:tc>
        <w:tc>
          <w:tcPr>
            <w:tcW w:w="2074" w:type="dxa"/>
            <w:vAlign w:val="center"/>
          </w:tcPr>
          <w:p>
            <w:pPr>
              <w:jc w:val="center"/>
              <w:rPr>
                <w:sz w:val="21"/>
                <w:szCs w:val="21"/>
              </w:rPr>
            </w:pPr>
            <w:r>
              <w:rPr>
                <w:sz w:val="21"/>
                <w:szCs w:val="21"/>
              </w:rPr>
              <w:t>0</w:t>
            </w:r>
          </w:p>
        </w:tc>
        <w:tc>
          <w:tcPr>
            <w:tcW w:w="2074"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sz w:val="21"/>
                <w:szCs w:val="21"/>
              </w:rPr>
            </w:pPr>
            <w:bookmarkStart w:id="48" w:name="OLE_LINK30"/>
            <w:r>
              <w:rPr>
                <w:rFonts w:hint="eastAsia"/>
                <w:sz w:val="21"/>
                <w:szCs w:val="21"/>
              </w:rPr>
              <w:t>最高学位</w:t>
            </w:r>
            <w:bookmarkEnd w:id="48"/>
          </w:p>
        </w:tc>
        <w:tc>
          <w:tcPr>
            <w:tcW w:w="2877" w:type="dxa"/>
            <w:gridSpan w:val="2"/>
            <w:vAlign w:val="center"/>
          </w:tcPr>
          <w:p>
            <w:pPr>
              <w:jc w:val="center"/>
              <w:rPr>
                <w:sz w:val="21"/>
                <w:szCs w:val="21"/>
              </w:rPr>
            </w:pPr>
            <w:r>
              <w:rPr>
                <w:rFonts w:hint="eastAsia"/>
                <w:sz w:val="21"/>
                <w:szCs w:val="22"/>
              </w:rPr>
              <w:t>博士</w:t>
            </w:r>
          </w:p>
        </w:tc>
        <w:tc>
          <w:tcPr>
            <w:tcW w:w="2074" w:type="dxa"/>
            <w:vAlign w:val="center"/>
          </w:tcPr>
          <w:p>
            <w:pPr>
              <w:jc w:val="center"/>
              <w:rPr>
                <w:sz w:val="21"/>
                <w:szCs w:val="21"/>
              </w:rPr>
            </w:pPr>
            <w:r>
              <w:rPr>
                <w:sz w:val="21"/>
                <w:szCs w:val="21"/>
              </w:rPr>
              <w:t>7</w:t>
            </w:r>
          </w:p>
        </w:tc>
        <w:tc>
          <w:tcPr>
            <w:tcW w:w="2074" w:type="dxa"/>
            <w:vAlign w:val="center"/>
          </w:tcPr>
          <w:p>
            <w:pPr>
              <w:jc w:val="center"/>
              <w:rPr>
                <w:sz w:val="21"/>
                <w:szCs w:val="21"/>
              </w:rPr>
            </w:pPr>
            <w:r>
              <w:rPr>
                <w:sz w:val="21"/>
                <w:szCs w:val="21"/>
              </w:rPr>
              <w:t>63.64</w:t>
            </w:r>
            <w:bookmarkStart w:id="49" w:name="OLE_LINK31"/>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2"/>
              </w:rPr>
              <w:t>硕士</w:t>
            </w:r>
          </w:p>
        </w:tc>
        <w:tc>
          <w:tcPr>
            <w:tcW w:w="2074" w:type="dxa"/>
            <w:vAlign w:val="center"/>
          </w:tcPr>
          <w:p>
            <w:pPr>
              <w:jc w:val="center"/>
              <w:rPr>
                <w:sz w:val="21"/>
                <w:szCs w:val="21"/>
              </w:rPr>
            </w:pPr>
            <w:r>
              <w:rPr>
                <w:sz w:val="21"/>
                <w:szCs w:val="21"/>
              </w:rPr>
              <w:t>4</w:t>
            </w:r>
          </w:p>
        </w:tc>
        <w:tc>
          <w:tcPr>
            <w:tcW w:w="2074" w:type="dxa"/>
            <w:vAlign w:val="center"/>
          </w:tcPr>
          <w:p>
            <w:pPr>
              <w:jc w:val="center"/>
              <w:rPr>
                <w:sz w:val="21"/>
                <w:szCs w:val="21"/>
              </w:rPr>
            </w:pPr>
            <w:r>
              <w:rPr>
                <w:sz w:val="21"/>
                <w:szCs w:val="21"/>
              </w:rPr>
              <w:t>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2"/>
              </w:rPr>
              <w:t>学士</w:t>
            </w:r>
          </w:p>
        </w:tc>
        <w:tc>
          <w:tcPr>
            <w:tcW w:w="2074" w:type="dxa"/>
            <w:vAlign w:val="center"/>
          </w:tcPr>
          <w:p>
            <w:pPr>
              <w:jc w:val="center"/>
              <w:rPr>
                <w:sz w:val="21"/>
                <w:szCs w:val="21"/>
              </w:rPr>
            </w:pPr>
            <w:r>
              <w:rPr>
                <w:sz w:val="21"/>
                <w:szCs w:val="21"/>
              </w:rPr>
              <w:t>0</w:t>
            </w:r>
          </w:p>
        </w:tc>
        <w:tc>
          <w:tcPr>
            <w:tcW w:w="2074"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hint="eastAsia"/>
                <w:sz w:val="21"/>
                <w:szCs w:val="22"/>
              </w:rPr>
              <w:t>无学位</w:t>
            </w:r>
          </w:p>
        </w:tc>
        <w:tc>
          <w:tcPr>
            <w:tcW w:w="2074" w:type="dxa"/>
            <w:vAlign w:val="center"/>
          </w:tcPr>
          <w:p>
            <w:pPr>
              <w:jc w:val="center"/>
              <w:rPr>
                <w:sz w:val="21"/>
                <w:szCs w:val="21"/>
              </w:rPr>
            </w:pPr>
            <w:r>
              <w:rPr>
                <w:sz w:val="21"/>
                <w:szCs w:val="21"/>
              </w:rPr>
              <w:t>0</w:t>
            </w:r>
          </w:p>
        </w:tc>
        <w:tc>
          <w:tcPr>
            <w:tcW w:w="2074"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sz w:val="21"/>
                <w:szCs w:val="21"/>
              </w:rPr>
            </w:pPr>
            <w:r>
              <w:rPr>
                <w:rFonts w:hint="eastAsia"/>
                <w:sz w:val="21"/>
                <w:szCs w:val="21"/>
              </w:rPr>
              <w:t>年龄</w:t>
            </w:r>
          </w:p>
        </w:tc>
        <w:tc>
          <w:tcPr>
            <w:tcW w:w="2877" w:type="dxa"/>
            <w:gridSpan w:val="2"/>
            <w:vAlign w:val="center"/>
          </w:tcPr>
          <w:p>
            <w:pPr>
              <w:jc w:val="center"/>
              <w:rPr>
                <w:sz w:val="21"/>
                <w:szCs w:val="21"/>
              </w:rPr>
            </w:pPr>
            <w:r>
              <w:rPr>
                <w:rFonts w:ascii="Times New Roman" w:hAnsi="Noto Sans Mono CJK JP Regular" w:eastAsia="Times New Roman" w:cs="Noto Sans Mono CJK JP Regular"/>
                <w:b/>
                <w:sz w:val="21"/>
                <w:szCs w:val="22"/>
              </w:rPr>
              <w:t xml:space="preserve">35 </w:t>
            </w:r>
            <w:r>
              <w:rPr>
                <w:rFonts w:hint="eastAsia"/>
                <w:sz w:val="21"/>
                <w:szCs w:val="22"/>
              </w:rPr>
              <w:t>岁及以下</w:t>
            </w:r>
          </w:p>
        </w:tc>
        <w:tc>
          <w:tcPr>
            <w:tcW w:w="2074" w:type="dxa"/>
            <w:vAlign w:val="center"/>
          </w:tcPr>
          <w:p>
            <w:pPr>
              <w:jc w:val="center"/>
              <w:rPr>
                <w:sz w:val="21"/>
                <w:szCs w:val="21"/>
              </w:rPr>
            </w:pPr>
            <w:r>
              <w:rPr>
                <w:sz w:val="21"/>
                <w:szCs w:val="21"/>
              </w:rPr>
              <w:t>1</w:t>
            </w:r>
          </w:p>
        </w:tc>
        <w:tc>
          <w:tcPr>
            <w:tcW w:w="2074" w:type="dxa"/>
            <w:vAlign w:val="center"/>
          </w:tcPr>
          <w:p>
            <w:pPr>
              <w:jc w:val="center"/>
              <w:rPr>
                <w:sz w:val="21"/>
                <w:szCs w:val="21"/>
              </w:rPr>
            </w:pPr>
            <w:r>
              <w:rPr>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ascii="Times New Roman" w:hAnsi="Noto Sans Mono CJK JP Regular" w:eastAsia="Times New Roman" w:cs="Noto Sans Mono CJK JP Regular"/>
                <w:b/>
                <w:sz w:val="21"/>
                <w:szCs w:val="22"/>
              </w:rPr>
              <w:t xml:space="preserve">36-45 </w:t>
            </w:r>
            <w:r>
              <w:rPr>
                <w:rFonts w:hint="eastAsia"/>
                <w:sz w:val="21"/>
                <w:szCs w:val="22"/>
              </w:rPr>
              <w:t>岁</w:t>
            </w:r>
          </w:p>
        </w:tc>
        <w:tc>
          <w:tcPr>
            <w:tcW w:w="2074" w:type="dxa"/>
            <w:vAlign w:val="center"/>
          </w:tcPr>
          <w:p>
            <w:pPr>
              <w:jc w:val="center"/>
              <w:rPr>
                <w:sz w:val="21"/>
                <w:szCs w:val="21"/>
              </w:rPr>
            </w:pPr>
            <w:r>
              <w:rPr>
                <w:sz w:val="21"/>
                <w:szCs w:val="21"/>
              </w:rPr>
              <w:t>7</w:t>
            </w:r>
          </w:p>
        </w:tc>
        <w:tc>
          <w:tcPr>
            <w:tcW w:w="2074" w:type="dxa"/>
            <w:vAlign w:val="center"/>
          </w:tcPr>
          <w:p>
            <w:pPr>
              <w:jc w:val="center"/>
              <w:rPr>
                <w:sz w:val="21"/>
                <w:szCs w:val="21"/>
              </w:rPr>
            </w:pPr>
            <w:r>
              <w:rPr>
                <w:sz w:val="21"/>
                <w:szCs w:val="21"/>
              </w:rPr>
              <w:t>63.64</w:t>
            </w:r>
            <w:bookmarkStart w:id="50" w:name="OLE_LINK32"/>
            <w:bookmarkEnd w:id="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ascii="Times New Roman" w:hAnsi="Noto Sans Mono CJK JP Regular" w:eastAsia="Times New Roman" w:cs="Noto Sans Mono CJK JP Regular"/>
                <w:b/>
                <w:sz w:val="21"/>
                <w:szCs w:val="22"/>
              </w:rPr>
              <w:t xml:space="preserve">46-55 </w:t>
            </w:r>
            <w:r>
              <w:rPr>
                <w:rFonts w:hint="eastAsia"/>
                <w:sz w:val="21"/>
                <w:szCs w:val="22"/>
              </w:rPr>
              <w:t>岁</w:t>
            </w:r>
          </w:p>
        </w:tc>
        <w:tc>
          <w:tcPr>
            <w:tcW w:w="2074" w:type="dxa"/>
            <w:vAlign w:val="center"/>
          </w:tcPr>
          <w:p>
            <w:pPr>
              <w:jc w:val="center"/>
              <w:rPr>
                <w:sz w:val="21"/>
                <w:szCs w:val="21"/>
              </w:rPr>
            </w:pPr>
            <w:r>
              <w:rPr>
                <w:sz w:val="21"/>
                <w:szCs w:val="21"/>
              </w:rPr>
              <w:t>2</w:t>
            </w:r>
          </w:p>
        </w:tc>
        <w:tc>
          <w:tcPr>
            <w:tcW w:w="2074" w:type="dxa"/>
            <w:vAlign w:val="center"/>
          </w:tcPr>
          <w:p>
            <w:pPr>
              <w:jc w:val="center"/>
              <w:rPr>
                <w:sz w:val="21"/>
                <w:szCs w:val="21"/>
              </w:rPr>
            </w:pPr>
            <w:r>
              <w:rPr>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2877" w:type="dxa"/>
            <w:gridSpan w:val="2"/>
            <w:vAlign w:val="center"/>
          </w:tcPr>
          <w:p>
            <w:pPr>
              <w:jc w:val="center"/>
              <w:rPr>
                <w:sz w:val="21"/>
                <w:szCs w:val="21"/>
              </w:rPr>
            </w:pPr>
            <w:r>
              <w:rPr>
                <w:rFonts w:ascii="Times New Roman" w:hAnsi="Noto Sans Mono CJK JP Regular" w:eastAsia="Times New Roman" w:cs="Noto Sans Mono CJK JP Regular"/>
                <w:b/>
                <w:sz w:val="21"/>
                <w:szCs w:val="22"/>
              </w:rPr>
              <w:t xml:space="preserve">56 </w:t>
            </w:r>
            <w:r>
              <w:rPr>
                <w:rFonts w:hint="eastAsia"/>
                <w:sz w:val="21"/>
                <w:szCs w:val="22"/>
              </w:rPr>
              <w:t>岁及以上</w:t>
            </w:r>
          </w:p>
        </w:tc>
        <w:tc>
          <w:tcPr>
            <w:tcW w:w="2074" w:type="dxa"/>
            <w:vAlign w:val="center"/>
          </w:tcPr>
          <w:p>
            <w:pPr>
              <w:jc w:val="center"/>
              <w:rPr>
                <w:sz w:val="21"/>
                <w:szCs w:val="21"/>
              </w:rPr>
            </w:pPr>
            <w:r>
              <w:rPr>
                <w:sz w:val="21"/>
                <w:szCs w:val="21"/>
              </w:rPr>
              <w:t>1</w:t>
            </w:r>
          </w:p>
        </w:tc>
        <w:tc>
          <w:tcPr>
            <w:tcW w:w="2074" w:type="dxa"/>
            <w:vAlign w:val="center"/>
          </w:tcPr>
          <w:p>
            <w:pPr>
              <w:jc w:val="center"/>
              <w:rPr>
                <w:sz w:val="21"/>
                <w:szCs w:val="21"/>
              </w:rPr>
            </w:pPr>
            <w:r>
              <w:rPr>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sz w:val="21"/>
                <w:szCs w:val="21"/>
              </w:rPr>
            </w:pPr>
            <w:r>
              <w:rPr>
                <w:rFonts w:hint="eastAsia"/>
                <w:sz w:val="21"/>
                <w:szCs w:val="21"/>
              </w:rPr>
              <w:t>学缘</w:t>
            </w:r>
          </w:p>
        </w:tc>
        <w:tc>
          <w:tcPr>
            <w:tcW w:w="2877" w:type="dxa"/>
            <w:gridSpan w:val="2"/>
            <w:vAlign w:val="center"/>
          </w:tcPr>
          <w:p>
            <w:pPr>
              <w:jc w:val="center"/>
              <w:rPr>
                <w:sz w:val="21"/>
                <w:szCs w:val="21"/>
              </w:rPr>
            </w:pPr>
            <w:bookmarkStart w:id="51" w:name="OLE_LINK27"/>
            <w:r>
              <w:rPr>
                <w:rFonts w:hint="eastAsia"/>
                <w:sz w:val="21"/>
                <w:szCs w:val="22"/>
              </w:rPr>
              <w:t>本校</w:t>
            </w:r>
            <w:bookmarkEnd w:id="51"/>
          </w:p>
        </w:tc>
        <w:tc>
          <w:tcPr>
            <w:tcW w:w="2074" w:type="dxa"/>
            <w:vAlign w:val="center"/>
          </w:tcPr>
          <w:p>
            <w:pPr>
              <w:jc w:val="center"/>
              <w:rPr>
                <w:sz w:val="21"/>
                <w:szCs w:val="21"/>
              </w:rPr>
            </w:pPr>
            <w:r>
              <w:rPr>
                <w:sz w:val="21"/>
                <w:szCs w:val="21"/>
              </w:rPr>
              <w:t>2</w:t>
            </w:r>
            <w:bookmarkStart w:id="52" w:name="OLE_LINK29"/>
            <w:bookmarkEnd w:id="52"/>
          </w:p>
        </w:tc>
        <w:tc>
          <w:tcPr>
            <w:tcW w:w="2074" w:type="dxa"/>
            <w:vAlign w:val="center"/>
          </w:tcPr>
          <w:p>
            <w:pPr>
              <w:jc w:val="center"/>
              <w:rPr>
                <w:sz w:val="21"/>
                <w:szCs w:val="21"/>
              </w:rPr>
            </w:pPr>
            <w:r>
              <w:rPr>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1276" w:type="dxa"/>
            <w:vMerge w:val="restart"/>
            <w:vAlign w:val="center"/>
          </w:tcPr>
          <w:p>
            <w:pPr>
              <w:jc w:val="center"/>
              <w:rPr>
                <w:sz w:val="21"/>
                <w:szCs w:val="21"/>
              </w:rPr>
            </w:pPr>
            <w:bookmarkStart w:id="53" w:name="OLE_LINK28"/>
            <w:r>
              <w:rPr>
                <w:rFonts w:hint="eastAsia"/>
                <w:sz w:val="21"/>
                <w:szCs w:val="22"/>
              </w:rPr>
              <w:t>外校</w:t>
            </w:r>
            <w:bookmarkEnd w:id="53"/>
          </w:p>
        </w:tc>
        <w:tc>
          <w:tcPr>
            <w:tcW w:w="1601" w:type="dxa"/>
            <w:vAlign w:val="center"/>
          </w:tcPr>
          <w:p>
            <w:pPr>
              <w:jc w:val="center"/>
              <w:rPr>
                <w:sz w:val="21"/>
                <w:szCs w:val="21"/>
              </w:rPr>
            </w:pPr>
            <w:r>
              <w:rPr>
                <w:rFonts w:hint="eastAsia"/>
                <w:sz w:val="21"/>
                <w:szCs w:val="22"/>
              </w:rPr>
              <w:t>境内</w:t>
            </w:r>
          </w:p>
        </w:tc>
        <w:tc>
          <w:tcPr>
            <w:tcW w:w="2074" w:type="dxa"/>
            <w:vAlign w:val="center"/>
          </w:tcPr>
          <w:p>
            <w:pPr>
              <w:jc w:val="center"/>
              <w:rPr>
                <w:sz w:val="21"/>
                <w:szCs w:val="21"/>
              </w:rPr>
            </w:pPr>
            <w:r>
              <w:rPr>
                <w:sz w:val="21"/>
                <w:szCs w:val="21"/>
              </w:rPr>
              <w:t>5</w:t>
            </w:r>
          </w:p>
        </w:tc>
        <w:tc>
          <w:tcPr>
            <w:tcW w:w="2074" w:type="dxa"/>
            <w:vAlign w:val="center"/>
          </w:tcPr>
          <w:p>
            <w:pPr>
              <w:jc w:val="center"/>
              <w:rPr>
                <w:sz w:val="21"/>
                <w:szCs w:val="21"/>
              </w:rPr>
            </w:pPr>
            <w:r>
              <w:rPr>
                <w:sz w:val="21"/>
                <w:szCs w:val="21"/>
              </w:rPr>
              <w:t>45.45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sz w:val="21"/>
                <w:szCs w:val="21"/>
              </w:rPr>
            </w:pPr>
          </w:p>
        </w:tc>
        <w:tc>
          <w:tcPr>
            <w:tcW w:w="1276" w:type="dxa"/>
            <w:vMerge w:val="continue"/>
            <w:vAlign w:val="center"/>
          </w:tcPr>
          <w:p>
            <w:pPr>
              <w:jc w:val="center"/>
              <w:rPr>
                <w:sz w:val="21"/>
                <w:szCs w:val="21"/>
              </w:rPr>
            </w:pPr>
          </w:p>
        </w:tc>
        <w:tc>
          <w:tcPr>
            <w:tcW w:w="1601" w:type="dxa"/>
            <w:vAlign w:val="center"/>
          </w:tcPr>
          <w:p>
            <w:pPr>
              <w:jc w:val="center"/>
              <w:rPr>
                <w:sz w:val="21"/>
                <w:szCs w:val="21"/>
              </w:rPr>
            </w:pPr>
            <w:r>
              <w:rPr>
                <w:rFonts w:hint="eastAsia"/>
                <w:sz w:val="21"/>
                <w:szCs w:val="22"/>
              </w:rPr>
              <w:t>境外</w:t>
            </w:r>
          </w:p>
        </w:tc>
        <w:tc>
          <w:tcPr>
            <w:tcW w:w="2074" w:type="dxa"/>
            <w:vAlign w:val="center"/>
          </w:tcPr>
          <w:p>
            <w:pPr>
              <w:jc w:val="center"/>
              <w:rPr>
                <w:sz w:val="21"/>
                <w:szCs w:val="21"/>
              </w:rPr>
            </w:pPr>
            <w:r>
              <w:rPr>
                <w:sz w:val="21"/>
                <w:szCs w:val="21"/>
              </w:rPr>
              <w:t>4</w:t>
            </w:r>
          </w:p>
        </w:tc>
        <w:tc>
          <w:tcPr>
            <w:tcW w:w="2074" w:type="dxa"/>
            <w:vAlign w:val="center"/>
          </w:tcPr>
          <w:p>
            <w:pPr>
              <w:jc w:val="center"/>
              <w:rPr>
                <w:sz w:val="21"/>
                <w:szCs w:val="21"/>
              </w:rPr>
            </w:pPr>
            <w:r>
              <w:rPr>
                <w:sz w:val="21"/>
                <w:szCs w:val="21"/>
              </w:rPr>
              <w:t>36.36</w:t>
            </w:r>
          </w:p>
        </w:tc>
      </w:tr>
    </w:tbl>
    <w:p>
      <w:pPr>
        <w:snapToGrid w:val="0"/>
        <w:ind w:firstLine="480" w:firstLineChars="200"/>
        <w:rPr>
          <w:color w:val="000000" w:themeColor="text1"/>
          <w14:textFill>
            <w14:solidFill>
              <w14:schemeClr w14:val="tx1"/>
            </w14:solidFill>
          </w14:textFill>
        </w:rPr>
      </w:pPr>
    </w:p>
    <w:p>
      <w:pPr>
        <w:snapToGrid w:val="0"/>
        <w:spacing w:line="360" w:lineRule="auto"/>
        <w:ind w:firstLine="480" w:firstLineChars="200"/>
        <w:jc w:val="both"/>
      </w:pPr>
      <w:r>
        <w:rPr>
          <w:rFonts w:hint="eastAsia"/>
          <w:color w:val="000000" w:themeColor="text1"/>
          <w14:textFill>
            <w14:solidFill>
              <w14:schemeClr w14:val="tx1"/>
            </w14:solidFill>
          </w14:textFill>
        </w:rPr>
        <w:t>在职称方面，高级职称占18.18%。博士学位占63.64%。年龄结构方面，以中青年教师为主64%，资深教师领衔27%，老中青搭配合理，形成可持续的人才发展梯队。学缘方面，境外教师四人达到36%，境内五人占46%，本校两人占18%。</w:t>
      </w:r>
    </w:p>
    <w:p>
      <w:pPr>
        <w:pStyle w:val="4"/>
        <w:rPr>
          <w:rFonts w:ascii="宋体" w:hAnsi="宋体" w:eastAsia="宋体"/>
          <w:b w:val="0"/>
          <w:bCs w:val="0"/>
          <w:sz w:val="24"/>
          <w:szCs w:val="24"/>
        </w:rPr>
      </w:pPr>
      <w:bookmarkStart w:id="54" w:name="_Toc155617891"/>
      <w:r>
        <w:rPr>
          <w:rFonts w:ascii="宋体" w:hAnsi="宋体" w:eastAsia="宋体"/>
          <w:b w:val="0"/>
          <w:bCs w:val="0"/>
          <w:sz w:val="24"/>
          <w:szCs w:val="24"/>
        </w:rPr>
        <w:t>4.2授课师资分析</w:t>
      </w:r>
      <w:bookmarkEnd w:id="54"/>
    </w:p>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4.2.1专业课校内授课教师职称情况分析</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34"/>
        <w:gridCol w:w="1822"/>
        <w:gridCol w:w="206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000000" w:sz="2" w:space="0"/>
              <w:left w:val="single" w:color="000000" w:sz="4" w:space="0"/>
              <w:bottom w:val="single" w:color="000000" w:sz="2" w:space="0"/>
              <w:right w:val="single" w:color="000000" w:sz="2" w:space="0"/>
            </w:tcBorders>
            <w:vAlign w:val="center"/>
          </w:tcPr>
          <w:p>
            <w:pPr>
              <w:jc w:val="center"/>
              <w:rPr>
                <w:sz w:val="21"/>
                <w:szCs w:val="21"/>
              </w:rPr>
            </w:pPr>
            <w:r>
              <w:rPr>
                <w:rFonts w:hint="eastAsia"/>
                <w:sz w:val="21"/>
                <w:szCs w:val="21"/>
              </w:rPr>
              <w:t>项目</w:t>
            </w:r>
          </w:p>
        </w:tc>
        <w:tc>
          <w:tcPr>
            <w:tcW w:w="1734"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专业课授课教师</w:t>
            </w:r>
          </w:p>
        </w:tc>
        <w:tc>
          <w:tcPr>
            <w:tcW w:w="1822"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比例(</w:t>
            </w:r>
            <w:r>
              <w:rPr>
                <w:sz w:val="21"/>
                <w:szCs w:val="21"/>
              </w:rPr>
              <w:t>%</w:t>
            </w:r>
            <w:r>
              <w:rPr>
                <w:rFonts w:hint="eastAsia"/>
                <w:sz w:val="21"/>
                <w:szCs w:val="21"/>
              </w:rPr>
              <w:t>)</w:t>
            </w:r>
          </w:p>
        </w:tc>
        <w:tc>
          <w:tcPr>
            <w:tcW w:w="2060"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bookmarkStart w:id="55" w:name="OLE_LINK33"/>
            <w:r>
              <w:rPr>
                <w:rFonts w:hint="eastAsia"/>
                <w:sz w:val="21"/>
                <w:szCs w:val="21"/>
              </w:rPr>
              <w:t>核心课授课</w:t>
            </w:r>
            <w:bookmarkEnd w:id="55"/>
            <w:r>
              <w:rPr>
                <w:rFonts w:hint="eastAsia"/>
                <w:sz w:val="21"/>
                <w:szCs w:val="21"/>
              </w:rPr>
              <w:t>教师</w:t>
            </w:r>
          </w:p>
        </w:tc>
        <w:tc>
          <w:tcPr>
            <w:tcW w:w="2060"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比例(</w:t>
            </w:r>
            <w:r>
              <w:rPr>
                <w:sz w:val="21"/>
                <w:szCs w:val="21"/>
              </w:rPr>
              <w:t>%</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jc w:val="center"/>
              <w:rPr>
                <w:sz w:val="21"/>
                <w:szCs w:val="21"/>
              </w:rPr>
            </w:pPr>
            <w:r>
              <w:rPr>
                <w:rFonts w:hint="eastAsia"/>
                <w:sz w:val="21"/>
                <w:szCs w:val="21"/>
              </w:rPr>
              <w:t>总数</w:t>
            </w:r>
          </w:p>
        </w:tc>
        <w:tc>
          <w:tcPr>
            <w:tcW w:w="1734" w:type="dxa"/>
            <w:vAlign w:val="center"/>
          </w:tcPr>
          <w:p>
            <w:pPr>
              <w:jc w:val="center"/>
              <w:rPr>
                <w:sz w:val="21"/>
                <w:szCs w:val="21"/>
              </w:rPr>
            </w:pPr>
            <w:r>
              <w:rPr>
                <w:sz w:val="21"/>
                <w:szCs w:val="21"/>
              </w:rPr>
              <w:t>108</w:t>
            </w:r>
          </w:p>
        </w:tc>
        <w:tc>
          <w:tcPr>
            <w:tcW w:w="1822" w:type="dxa"/>
            <w:vAlign w:val="center"/>
          </w:tcPr>
          <w:p>
            <w:pPr>
              <w:jc w:val="center"/>
              <w:rPr>
                <w:sz w:val="21"/>
                <w:szCs w:val="21"/>
              </w:rPr>
            </w:pPr>
            <w:r>
              <w:rPr>
                <w:rFonts w:hint="eastAsia"/>
                <w:sz w:val="21"/>
                <w:szCs w:val="21"/>
              </w:rPr>
              <w:t>/</w:t>
            </w:r>
          </w:p>
        </w:tc>
        <w:tc>
          <w:tcPr>
            <w:tcW w:w="2060" w:type="dxa"/>
            <w:vAlign w:val="center"/>
          </w:tcPr>
          <w:p>
            <w:pPr>
              <w:jc w:val="center"/>
              <w:rPr>
                <w:sz w:val="21"/>
                <w:szCs w:val="21"/>
              </w:rPr>
            </w:pPr>
            <w:r>
              <w:rPr>
                <w:sz w:val="21"/>
                <w:szCs w:val="21"/>
              </w:rPr>
              <w:t>50</w:t>
            </w:r>
          </w:p>
        </w:tc>
        <w:tc>
          <w:tcPr>
            <w:tcW w:w="2060" w:type="dxa"/>
            <w:vAlign w:val="center"/>
          </w:tcPr>
          <w:p>
            <w:pPr>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jc w:val="center"/>
              <w:rPr>
                <w:sz w:val="21"/>
                <w:szCs w:val="21"/>
              </w:rPr>
            </w:pPr>
            <w:r>
              <w:rPr>
                <w:rFonts w:hint="eastAsia"/>
                <w:sz w:val="21"/>
                <w:szCs w:val="21"/>
              </w:rPr>
              <w:t>教授</w:t>
            </w:r>
          </w:p>
        </w:tc>
        <w:tc>
          <w:tcPr>
            <w:tcW w:w="1734" w:type="dxa"/>
            <w:vAlign w:val="center"/>
          </w:tcPr>
          <w:p>
            <w:pPr>
              <w:jc w:val="center"/>
              <w:rPr>
                <w:sz w:val="21"/>
                <w:szCs w:val="21"/>
              </w:rPr>
            </w:pPr>
            <w:r>
              <w:rPr>
                <w:sz w:val="21"/>
                <w:szCs w:val="21"/>
              </w:rPr>
              <w:t>16</w:t>
            </w:r>
          </w:p>
        </w:tc>
        <w:tc>
          <w:tcPr>
            <w:tcW w:w="1822" w:type="dxa"/>
            <w:vAlign w:val="center"/>
          </w:tcPr>
          <w:p>
            <w:pPr>
              <w:jc w:val="center"/>
              <w:rPr>
                <w:sz w:val="21"/>
                <w:szCs w:val="21"/>
              </w:rPr>
            </w:pPr>
            <w:r>
              <w:rPr>
                <w:sz w:val="21"/>
                <w:szCs w:val="21"/>
              </w:rPr>
              <w:t>14.81</w:t>
            </w:r>
          </w:p>
        </w:tc>
        <w:tc>
          <w:tcPr>
            <w:tcW w:w="2060" w:type="dxa"/>
            <w:vAlign w:val="center"/>
          </w:tcPr>
          <w:p>
            <w:pPr>
              <w:jc w:val="center"/>
              <w:rPr>
                <w:sz w:val="21"/>
                <w:szCs w:val="21"/>
              </w:rPr>
            </w:pPr>
            <w:r>
              <w:rPr>
                <w:sz w:val="21"/>
                <w:szCs w:val="21"/>
              </w:rPr>
              <w:t>10</w:t>
            </w:r>
          </w:p>
        </w:tc>
        <w:tc>
          <w:tcPr>
            <w:tcW w:w="2060" w:type="dxa"/>
            <w:vAlign w:val="center"/>
          </w:tcPr>
          <w:p>
            <w:pPr>
              <w:jc w:val="center"/>
              <w:rPr>
                <w:sz w:val="21"/>
                <w:szCs w:val="21"/>
              </w:rPr>
            </w:pPr>
            <w:r>
              <w:rPr>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jc w:val="center"/>
              <w:rPr>
                <w:sz w:val="21"/>
                <w:szCs w:val="21"/>
              </w:rPr>
            </w:pPr>
            <w:r>
              <w:rPr>
                <w:rFonts w:hint="eastAsia"/>
                <w:sz w:val="21"/>
                <w:szCs w:val="21"/>
              </w:rPr>
              <w:t>副教授</w:t>
            </w:r>
          </w:p>
        </w:tc>
        <w:tc>
          <w:tcPr>
            <w:tcW w:w="1734" w:type="dxa"/>
            <w:vAlign w:val="center"/>
          </w:tcPr>
          <w:p>
            <w:pPr>
              <w:jc w:val="center"/>
              <w:rPr>
                <w:sz w:val="21"/>
                <w:szCs w:val="21"/>
              </w:rPr>
            </w:pPr>
            <w:r>
              <w:rPr>
                <w:sz w:val="21"/>
                <w:szCs w:val="21"/>
              </w:rPr>
              <w:t>41</w:t>
            </w:r>
          </w:p>
        </w:tc>
        <w:tc>
          <w:tcPr>
            <w:tcW w:w="1822" w:type="dxa"/>
            <w:vAlign w:val="center"/>
          </w:tcPr>
          <w:p>
            <w:pPr>
              <w:jc w:val="center"/>
              <w:rPr>
                <w:sz w:val="21"/>
                <w:szCs w:val="21"/>
              </w:rPr>
            </w:pPr>
            <w:r>
              <w:rPr>
                <w:sz w:val="21"/>
                <w:szCs w:val="21"/>
              </w:rPr>
              <w:t>37.96</w:t>
            </w:r>
          </w:p>
        </w:tc>
        <w:tc>
          <w:tcPr>
            <w:tcW w:w="2060" w:type="dxa"/>
            <w:vAlign w:val="center"/>
          </w:tcPr>
          <w:p>
            <w:pPr>
              <w:jc w:val="center"/>
              <w:rPr>
                <w:sz w:val="21"/>
                <w:szCs w:val="21"/>
              </w:rPr>
            </w:pPr>
            <w:r>
              <w:rPr>
                <w:sz w:val="21"/>
                <w:szCs w:val="21"/>
              </w:rPr>
              <w:t>21</w:t>
            </w:r>
          </w:p>
        </w:tc>
        <w:tc>
          <w:tcPr>
            <w:tcW w:w="2060" w:type="dxa"/>
            <w:vAlign w:val="center"/>
          </w:tcPr>
          <w:p>
            <w:pPr>
              <w:jc w:val="center"/>
              <w:rPr>
                <w:sz w:val="21"/>
                <w:szCs w:val="21"/>
              </w:rPr>
            </w:pPr>
            <w:r>
              <w:rPr>
                <w:sz w:val="21"/>
                <w:szCs w:val="21"/>
              </w:rPr>
              <w:t>42</w:t>
            </w:r>
            <w:bookmarkStart w:id="56" w:name="OLE_LINK34"/>
            <w:bookmarkEnd w:id="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jc w:val="center"/>
              <w:rPr>
                <w:sz w:val="21"/>
                <w:szCs w:val="21"/>
              </w:rPr>
            </w:pPr>
            <w:r>
              <w:rPr>
                <w:rFonts w:hint="eastAsia"/>
                <w:sz w:val="21"/>
                <w:szCs w:val="21"/>
              </w:rPr>
              <w:t>讲师</w:t>
            </w:r>
          </w:p>
        </w:tc>
        <w:tc>
          <w:tcPr>
            <w:tcW w:w="1734" w:type="dxa"/>
            <w:vAlign w:val="center"/>
          </w:tcPr>
          <w:p>
            <w:pPr>
              <w:jc w:val="center"/>
              <w:rPr>
                <w:sz w:val="21"/>
                <w:szCs w:val="21"/>
              </w:rPr>
            </w:pPr>
            <w:r>
              <w:rPr>
                <w:sz w:val="21"/>
                <w:szCs w:val="21"/>
              </w:rPr>
              <w:t>38</w:t>
            </w:r>
          </w:p>
        </w:tc>
        <w:tc>
          <w:tcPr>
            <w:tcW w:w="1822" w:type="dxa"/>
            <w:vAlign w:val="center"/>
          </w:tcPr>
          <w:p>
            <w:pPr>
              <w:jc w:val="center"/>
              <w:rPr>
                <w:sz w:val="21"/>
                <w:szCs w:val="21"/>
              </w:rPr>
            </w:pPr>
            <w:r>
              <w:rPr>
                <w:sz w:val="21"/>
                <w:szCs w:val="21"/>
              </w:rPr>
              <w:t>35.19</w:t>
            </w:r>
          </w:p>
        </w:tc>
        <w:tc>
          <w:tcPr>
            <w:tcW w:w="2060" w:type="dxa"/>
            <w:vAlign w:val="center"/>
          </w:tcPr>
          <w:p>
            <w:pPr>
              <w:jc w:val="center"/>
              <w:rPr>
                <w:sz w:val="21"/>
                <w:szCs w:val="21"/>
              </w:rPr>
            </w:pPr>
            <w:r>
              <w:rPr>
                <w:sz w:val="21"/>
                <w:szCs w:val="21"/>
              </w:rPr>
              <w:t>17</w:t>
            </w:r>
          </w:p>
        </w:tc>
        <w:tc>
          <w:tcPr>
            <w:tcW w:w="2060" w:type="dxa"/>
            <w:vAlign w:val="center"/>
          </w:tcPr>
          <w:p>
            <w:pPr>
              <w:jc w:val="center"/>
              <w:rPr>
                <w:sz w:val="21"/>
                <w:szCs w:val="21"/>
              </w:rPr>
            </w:pPr>
            <w:r>
              <w:rPr>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jc w:val="center"/>
              <w:rPr>
                <w:sz w:val="21"/>
                <w:szCs w:val="21"/>
              </w:rPr>
            </w:pPr>
            <w:r>
              <w:rPr>
                <w:rFonts w:hint="eastAsia"/>
                <w:sz w:val="21"/>
                <w:szCs w:val="21"/>
              </w:rPr>
              <w:t>助教</w:t>
            </w:r>
          </w:p>
        </w:tc>
        <w:tc>
          <w:tcPr>
            <w:tcW w:w="1734" w:type="dxa"/>
            <w:vAlign w:val="center"/>
          </w:tcPr>
          <w:p>
            <w:pPr>
              <w:jc w:val="center"/>
              <w:rPr>
                <w:sz w:val="21"/>
                <w:szCs w:val="21"/>
              </w:rPr>
            </w:pPr>
            <w:r>
              <w:rPr>
                <w:sz w:val="21"/>
                <w:szCs w:val="21"/>
              </w:rPr>
              <w:t>0</w:t>
            </w:r>
          </w:p>
        </w:tc>
        <w:tc>
          <w:tcPr>
            <w:tcW w:w="1822" w:type="dxa"/>
            <w:vAlign w:val="center"/>
          </w:tcPr>
          <w:p>
            <w:pPr>
              <w:jc w:val="center"/>
              <w:rPr>
                <w:sz w:val="21"/>
                <w:szCs w:val="21"/>
              </w:rPr>
            </w:pPr>
            <w:r>
              <w:rPr>
                <w:sz w:val="21"/>
                <w:szCs w:val="21"/>
              </w:rPr>
              <w:t>0</w:t>
            </w:r>
          </w:p>
        </w:tc>
        <w:tc>
          <w:tcPr>
            <w:tcW w:w="2060" w:type="dxa"/>
            <w:vAlign w:val="center"/>
          </w:tcPr>
          <w:p>
            <w:pPr>
              <w:jc w:val="center"/>
              <w:rPr>
                <w:sz w:val="21"/>
                <w:szCs w:val="21"/>
              </w:rPr>
            </w:pPr>
            <w:r>
              <w:rPr>
                <w:sz w:val="21"/>
                <w:szCs w:val="21"/>
              </w:rPr>
              <w:t>0</w:t>
            </w:r>
          </w:p>
        </w:tc>
        <w:tc>
          <w:tcPr>
            <w:tcW w:w="2060"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jc w:val="center"/>
              <w:rPr>
                <w:sz w:val="21"/>
                <w:szCs w:val="21"/>
              </w:rPr>
            </w:pPr>
            <w:r>
              <w:rPr>
                <w:rFonts w:hint="eastAsia"/>
                <w:sz w:val="21"/>
                <w:szCs w:val="21"/>
              </w:rPr>
              <w:t>其他正高级</w:t>
            </w:r>
          </w:p>
        </w:tc>
        <w:tc>
          <w:tcPr>
            <w:tcW w:w="1734" w:type="dxa"/>
            <w:vAlign w:val="center"/>
          </w:tcPr>
          <w:p>
            <w:pPr>
              <w:jc w:val="center"/>
              <w:rPr>
                <w:sz w:val="21"/>
                <w:szCs w:val="21"/>
              </w:rPr>
            </w:pPr>
            <w:r>
              <w:rPr>
                <w:sz w:val="21"/>
                <w:szCs w:val="21"/>
              </w:rPr>
              <w:t>1</w:t>
            </w:r>
          </w:p>
        </w:tc>
        <w:tc>
          <w:tcPr>
            <w:tcW w:w="1822" w:type="dxa"/>
            <w:vAlign w:val="center"/>
          </w:tcPr>
          <w:p>
            <w:pPr>
              <w:jc w:val="center"/>
              <w:rPr>
                <w:sz w:val="21"/>
                <w:szCs w:val="21"/>
              </w:rPr>
            </w:pPr>
            <w:r>
              <w:rPr>
                <w:sz w:val="21"/>
                <w:szCs w:val="21"/>
              </w:rPr>
              <w:t>0.93</w:t>
            </w:r>
          </w:p>
        </w:tc>
        <w:tc>
          <w:tcPr>
            <w:tcW w:w="2060" w:type="dxa"/>
            <w:vAlign w:val="center"/>
          </w:tcPr>
          <w:p>
            <w:pPr>
              <w:jc w:val="center"/>
              <w:rPr>
                <w:sz w:val="21"/>
                <w:szCs w:val="21"/>
              </w:rPr>
            </w:pPr>
            <w:r>
              <w:rPr>
                <w:sz w:val="21"/>
                <w:szCs w:val="21"/>
              </w:rPr>
              <w:t>0</w:t>
            </w:r>
          </w:p>
        </w:tc>
        <w:tc>
          <w:tcPr>
            <w:tcW w:w="2060"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jc w:val="center"/>
              <w:rPr>
                <w:sz w:val="21"/>
                <w:szCs w:val="21"/>
              </w:rPr>
            </w:pPr>
            <w:r>
              <w:rPr>
                <w:rFonts w:hint="eastAsia"/>
                <w:sz w:val="21"/>
                <w:szCs w:val="21"/>
              </w:rPr>
              <w:t>其他副高级</w:t>
            </w:r>
          </w:p>
        </w:tc>
        <w:tc>
          <w:tcPr>
            <w:tcW w:w="1734" w:type="dxa"/>
            <w:vAlign w:val="center"/>
          </w:tcPr>
          <w:p>
            <w:pPr>
              <w:jc w:val="center"/>
              <w:rPr>
                <w:sz w:val="21"/>
                <w:szCs w:val="21"/>
              </w:rPr>
            </w:pPr>
            <w:r>
              <w:rPr>
                <w:sz w:val="21"/>
                <w:szCs w:val="21"/>
              </w:rPr>
              <w:t>1</w:t>
            </w:r>
          </w:p>
        </w:tc>
        <w:tc>
          <w:tcPr>
            <w:tcW w:w="1822" w:type="dxa"/>
            <w:vAlign w:val="center"/>
          </w:tcPr>
          <w:p>
            <w:pPr>
              <w:jc w:val="center"/>
              <w:rPr>
                <w:sz w:val="21"/>
                <w:szCs w:val="21"/>
              </w:rPr>
            </w:pPr>
            <w:r>
              <w:rPr>
                <w:sz w:val="21"/>
                <w:szCs w:val="21"/>
              </w:rPr>
              <w:t>0.93</w:t>
            </w:r>
          </w:p>
        </w:tc>
        <w:tc>
          <w:tcPr>
            <w:tcW w:w="2060" w:type="dxa"/>
            <w:vAlign w:val="center"/>
          </w:tcPr>
          <w:p>
            <w:pPr>
              <w:jc w:val="center"/>
              <w:rPr>
                <w:sz w:val="21"/>
                <w:szCs w:val="21"/>
              </w:rPr>
            </w:pPr>
            <w:r>
              <w:rPr>
                <w:sz w:val="21"/>
                <w:szCs w:val="21"/>
              </w:rPr>
              <w:t>1</w:t>
            </w:r>
          </w:p>
        </w:tc>
        <w:tc>
          <w:tcPr>
            <w:tcW w:w="2060" w:type="dxa"/>
            <w:vAlign w:val="center"/>
          </w:tcPr>
          <w:p>
            <w:pPr>
              <w:jc w:val="center"/>
              <w:rPr>
                <w:sz w:val="21"/>
                <w:szCs w:val="21"/>
              </w:rPr>
            </w:pPr>
            <w:r>
              <w:rPr>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jc w:val="center"/>
              <w:rPr>
                <w:sz w:val="21"/>
                <w:szCs w:val="21"/>
              </w:rPr>
            </w:pPr>
            <w:r>
              <w:rPr>
                <w:rFonts w:hint="eastAsia"/>
                <w:sz w:val="21"/>
                <w:szCs w:val="21"/>
              </w:rPr>
              <w:t>其他中级</w:t>
            </w:r>
          </w:p>
        </w:tc>
        <w:tc>
          <w:tcPr>
            <w:tcW w:w="1734" w:type="dxa"/>
            <w:vAlign w:val="center"/>
          </w:tcPr>
          <w:p>
            <w:pPr>
              <w:jc w:val="center"/>
              <w:rPr>
                <w:sz w:val="21"/>
                <w:szCs w:val="21"/>
              </w:rPr>
            </w:pPr>
            <w:r>
              <w:rPr>
                <w:sz w:val="21"/>
                <w:szCs w:val="21"/>
              </w:rPr>
              <w:t>11</w:t>
            </w:r>
          </w:p>
        </w:tc>
        <w:tc>
          <w:tcPr>
            <w:tcW w:w="1822" w:type="dxa"/>
            <w:vAlign w:val="center"/>
          </w:tcPr>
          <w:p>
            <w:pPr>
              <w:jc w:val="center"/>
              <w:rPr>
                <w:sz w:val="21"/>
                <w:szCs w:val="21"/>
              </w:rPr>
            </w:pPr>
            <w:r>
              <w:rPr>
                <w:sz w:val="21"/>
                <w:szCs w:val="21"/>
              </w:rPr>
              <w:t>10.19</w:t>
            </w:r>
          </w:p>
        </w:tc>
        <w:tc>
          <w:tcPr>
            <w:tcW w:w="2060" w:type="dxa"/>
            <w:vAlign w:val="center"/>
          </w:tcPr>
          <w:p>
            <w:pPr>
              <w:jc w:val="center"/>
              <w:rPr>
                <w:sz w:val="21"/>
                <w:szCs w:val="21"/>
              </w:rPr>
            </w:pPr>
            <w:r>
              <w:rPr>
                <w:sz w:val="21"/>
                <w:szCs w:val="21"/>
              </w:rPr>
              <w:t>1</w:t>
            </w:r>
          </w:p>
        </w:tc>
        <w:tc>
          <w:tcPr>
            <w:tcW w:w="2060" w:type="dxa"/>
            <w:vAlign w:val="center"/>
          </w:tcPr>
          <w:p>
            <w:pPr>
              <w:jc w:val="center"/>
              <w:rPr>
                <w:sz w:val="21"/>
                <w:szCs w:val="21"/>
              </w:rPr>
            </w:pPr>
            <w:r>
              <w:rPr>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jc w:val="center"/>
              <w:rPr>
                <w:sz w:val="21"/>
                <w:szCs w:val="21"/>
              </w:rPr>
            </w:pPr>
            <w:r>
              <w:rPr>
                <w:rFonts w:hint="eastAsia"/>
                <w:sz w:val="21"/>
                <w:szCs w:val="21"/>
              </w:rPr>
              <w:t>其他初级</w:t>
            </w:r>
          </w:p>
        </w:tc>
        <w:tc>
          <w:tcPr>
            <w:tcW w:w="1734" w:type="dxa"/>
            <w:vAlign w:val="center"/>
          </w:tcPr>
          <w:p>
            <w:pPr>
              <w:jc w:val="center"/>
              <w:rPr>
                <w:sz w:val="21"/>
                <w:szCs w:val="21"/>
              </w:rPr>
            </w:pPr>
            <w:r>
              <w:rPr>
                <w:sz w:val="21"/>
                <w:szCs w:val="21"/>
              </w:rPr>
              <w:t>0</w:t>
            </w:r>
          </w:p>
        </w:tc>
        <w:tc>
          <w:tcPr>
            <w:tcW w:w="1822" w:type="dxa"/>
            <w:vAlign w:val="center"/>
          </w:tcPr>
          <w:p>
            <w:pPr>
              <w:jc w:val="center"/>
              <w:rPr>
                <w:sz w:val="21"/>
                <w:szCs w:val="21"/>
              </w:rPr>
            </w:pPr>
            <w:r>
              <w:rPr>
                <w:sz w:val="21"/>
                <w:szCs w:val="21"/>
              </w:rPr>
              <w:t>0</w:t>
            </w:r>
          </w:p>
        </w:tc>
        <w:tc>
          <w:tcPr>
            <w:tcW w:w="2060" w:type="dxa"/>
            <w:vAlign w:val="center"/>
          </w:tcPr>
          <w:p>
            <w:pPr>
              <w:jc w:val="center"/>
              <w:rPr>
                <w:sz w:val="21"/>
                <w:szCs w:val="21"/>
              </w:rPr>
            </w:pPr>
            <w:r>
              <w:rPr>
                <w:sz w:val="21"/>
                <w:szCs w:val="21"/>
              </w:rPr>
              <w:t>0</w:t>
            </w:r>
          </w:p>
        </w:tc>
        <w:tc>
          <w:tcPr>
            <w:tcW w:w="2060"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jc w:val="center"/>
              <w:rPr>
                <w:sz w:val="21"/>
                <w:szCs w:val="21"/>
              </w:rPr>
            </w:pPr>
            <w:r>
              <w:rPr>
                <w:rFonts w:hint="eastAsia"/>
                <w:sz w:val="21"/>
                <w:szCs w:val="21"/>
              </w:rPr>
              <w:t>未评级</w:t>
            </w:r>
          </w:p>
        </w:tc>
        <w:tc>
          <w:tcPr>
            <w:tcW w:w="1734" w:type="dxa"/>
            <w:vAlign w:val="center"/>
          </w:tcPr>
          <w:p>
            <w:pPr>
              <w:jc w:val="center"/>
              <w:rPr>
                <w:sz w:val="21"/>
                <w:szCs w:val="21"/>
              </w:rPr>
            </w:pPr>
            <w:r>
              <w:rPr>
                <w:sz w:val="21"/>
                <w:szCs w:val="21"/>
              </w:rPr>
              <w:t>0</w:t>
            </w:r>
          </w:p>
        </w:tc>
        <w:tc>
          <w:tcPr>
            <w:tcW w:w="1822" w:type="dxa"/>
            <w:vAlign w:val="center"/>
          </w:tcPr>
          <w:p>
            <w:pPr>
              <w:jc w:val="center"/>
              <w:rPr>
                <w:sz w:val="21"/>
                <w:szCs w:val="21"/>
              </w:rPr>
            </w:pPr>
            <w:r>
              <w:rPr>
                <w:sz w:val="21"/>
                <w:szCs w:val="21"/>
              </w:rPr>
              <w:t>0</w:t>
            </w:r>
          </w:p>
        </w:tc>
        <w:tc>
          <w:tcPr>
            <w:tcW w:w="2060" w:type="dxa"/>
            <w:vAlign w:val="center"/>
          </w:tcPr>
          <w:p>
            <w:pPr>
              <w:jc w:val="center"/>
              <w:rPr>
                <w:sz w:val="21"/>
                <w:szCs w:val="21"/>
              </w:rPr>
            </w:pPr>
            <w:r>
              <w:rPr>
                <w:sz w:val="21"/>
                <w:szCs w:val="21"/>
              </w:rPr>
              <w:t>0</w:t>
            </w:r>
          </w:p>
        </w:tc>
        <w:tc>
          <w:tcPr>
            <w:tcW w:w="2060" w:type="dxa"/>
            <w:vAlign w:val="center"/>
          </w:tcPr>
          <w:p>
            <w:pPr>
              <w:jc w:val="center"/>
              <w:rPr>
                <w:sz w:val="21"/>
                <w:szCs w:val="21"/>
              </w:rPr>
            </w:pPr>
            <w:r>
              <w:rPr>
                <w:sz w:val="21"/>
                <w:szCs w:val="21"/>
              </w:rPr>
              <w:t>0</w:t>
            </w:r>
          </w:p>
        </w:tc>
      </w:tr>
    </w:tbl>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专业课和专业基础课的主讲教师</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具有博士学位，均为院系骨干教师。专业的每一名教师每学期都承担1-2门课程的教学工作，教授、副教授给本科生授课人均150学时/学年以上，反映出教师的教学工作量较大。</w:t>
      </w:r>
    </w:p>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4.2.2专业课校内授课教师最高学位情况分析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776"/>
        <w:gridCol w:w="1628"/>
        <w:gridCol w:w="2074"/>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Borders>
              <w:top w:val="single" w:color="000000" w:sz="2" w:space="0"/>
              <w:left w:val="single" w:color="000000" w:sz="4" w:space="0"/>
              <w:bottom w:val="single" w:color="000000" w:sz="2" w:space="0"/>
              <w:right w:val="single" w:color="000000" w:sz="2" w:space="0"/>
            </w:tcBorders>
            <w:vAlign w:val="center"/>
          </w:tcPr>
          <w:p>
            <w:pPr>
              <w:jc w:val="center"/>
              <w:rPr>
                <w:sz w:val="21"/>
                <w:szCs w:val="21"/>
              </w:rPr>
            </w:pPr>
            <w:r>
              <w:rPr>
                <w:rFonts w:hint="eastAsia"/>
                <w:sz w:val="21"/>
                <w:szCs w:val="21"/>
              </w:rPr>
              <w:t>项目</w:t>
            </w:r>
          </w:p>
        </w:tc>
        <w:tc>
          <w:tcPr>
            <w:tcW w:w="1776"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专业课授课教师</w:t>
            </w:r>
          </w:p>
        </w:tc>
        <w:tc>
          <w:tcPr>
            <w:tcW w:w="1628"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比例(</w:t>
            </w:r>
            <w:r>
              <w:rPr>
                <w:sz w:val="21"/>
                <w:szCs w:val="21"/>
              </w:rPr>
              <w:t>%</w:t>
            </w:r>
            <w:r>
              <w:rPr>
                <w:rFonts w:hint="eastAsia"/>
                <w:sz w:val="21"/>
                <w:szCs w:val="21"/>
              </w:rPr>
              <w:t>)</w:t>
            </w:r>
          </w:p>
        </w:tc>
        <w:tc>
          <w:tcPr>
            <w:tcW w:w="2074"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核心课授课教师</w:t>
            </w:r>
          </w:p>
        </w:tc>
        <w:tc>
          <w:tcPr>
            <w:tcW w:w="1925"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比例(</w:t>
            </w:r>
            <w:r>
              <w:rPr>
                <w:sz w:val="21"/>
                <w:szCs w:val="21"/>
              </w:rPr>
              <w:t>%</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21"/>
                <w:szCs w:val="21"/>
              </w:rPr>
            </w:pPr>
            <w:r>
              <w:rPr>
                <w:rFonts w:hint="eastAsia"/>
                <w:sz w:val="21"/>
                <w:szCs w:val="22"/>
              </w:rPr>
              <w:t>博士</w:t>
            </w:r>
          </w:p>
        </w:tc>
        <w:tc>
          <w:tcPr>
            <w:tcW w:w="1776" w:type="dxa"/>
            <w:vAlign w:val="center"/>
          </w:tcPr>
          <w:p>
            <w:pPr>
              <w:jc w:val="center"/>
              <w:rPr>
                <w:sz w:val="21"/>
                <w:szCs w:val="21"/>
              </w:rPr>
            </w:pPr>
            <w:r>
              <w:rPr>
                <w:sz w:val="21"/>
                <w:szCs w:val="21"/>
              </w:rPr>
              <w:t>81</w:t>
            </w:r>
          </w:p>
        </w:tc>
        <w:tc>
          <w:tcPr>
            <w:tcW w:w="1628" w:type="dxa"/>
            <w:vAlign w:val="center"/>
          </w:tcPr>
          <w:p>
            <w:pPr>
              <w:jc w:val="center"/>
              <w:rPr>
                <w:sz w:val="21"/>
                <w:szCs w:val="21"/>
              </w:rPr>
            </w:pPr>
            <w:r>
              <w:rPr>
                <w:sz w:val="21"/>
                <w:szCs w:val="21"/>
              </w:rPr>
              <w:t>75</w:t>
            </w:r>
          </w:p>
        </w:tc>
        <w:tc>
          <w:tcPr>
            <w:tcW w:w="2074" w:type="dxa"/>
            <w:vAlign w:val="center"/>
          </w:tcPr>
          <w:p>
            <w:pPr>
              <w:jc w:val="center"/>
              <w:rPr>
                <w:sz w:val="21"/>
                <w:szCs w:val="21"/>
              </w:rPr>
            </w:pPr>
            <w:r>
              <w:rPr>
                <w:sz w:val="21"/>
                <w:szCs w:val="21"/>
              </w:rPr>
              <w:t>43</w:t>
            </w:r>
          </w:p>
        </w:tc>
        <w:tc>
          <w:tcPr>
            <w:tcW w:w="1925" w:type="dxa"/>
            <w:vAlign w:val="center"/>
          </w:tcPr>
          <w:p>
            <w:pPr>
              <w:jc w:val="center"/>
              <w:rPr>
                <w:sz w:val="21"/>
                <w:szCs w:val="21"/>
              </w:rPr>
            </w:pPr>
            <w:r>
              <w:rPr>
                <w:sz w:val="21"/>
                <w:szCs w:val="21"/>
              </w:rPr>
              <w:t>86</w:t>
            </w:r>
            <w:bookmarkStart w:id="57" w:name="OLE_LINK3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21"/>
                <w:szCs w:val="21"/>
              </w:rPr>
            </w:pPr>
            <w:r>
              <w:rPr>
                <w:rFonts w:hint="eastAsia"/>
                <w:sz w:val="21"/>
                <w:szCs w:val="22"/>
              </w:rPr>
              <w:t>硕士</w:t>
            </w:r>
          </w:p>
        </w:tc>
        <w:tc>
          <w:tcPr>
            <w:tcW w:w="1776" w:type="dxa"/>
            <w:vAlign w:val="center"/>
          </w:tcPr>
          <w:p>
            <w:pPr>
              <w:jc w:val="center"/>
              <w:rPr>
                <w:sz w:val="21"/>
                <w:szCs w:val="21"/>
              </w:rPr>
            </w:pPr>
            <w:r>
              <w:rPr>
                <w:sz w:val="21"/>
                <w:szCs w:val="21"/>
              </w:rPr>
              <w:t>26</w:t>
            </w:r>
          </w:p>
        </w:tc>
        <w:tc>
          <w:tcPr>
            <w:tcW w:w="1628" w:type="dxa"/>
            <w:vAlign w:val="center"/>
          </w:tcPr>
          <w:p>
            <w:pPr>
              <w:jc w:val="center"/>
              <w:rPr>
                <w:sz w:val="21"/>
                <w:szCs w:val="21"/>
              </w:rPr>
            </w:pPr>
            <w:r>
              <w:rPr>
                <w:sz w:val="21"/>
                <w:szCs w:val="21"/>
              </w:rPr>
              <w:t>24.07</w:t>
            </w:r>
            <w:bookmarkStart w:id="58" w:name="OLE_LINK35"/>
            <w:bookmarkEnd w:id="58"/>
          </w:p>
        </w:tc>
        <w:tc>
          <w:tcPr>
            <w:tcW w:w="2074" w:type="dxa"/>
            <w:vAlign w:val="center"/>
          </w:tcPr>
          <w:p>
            <w:pPr>
              <w:jc w:val="center"/>
              <w:rPr>
                <w:sz w:val="21"/>
                <w:szCs w:val="21"/>
              </w:rPr>
            </w:pPr>
            <w:r>
              <w:rPr>
                <w:sz w:val="21"/>
                <w:szCs w:val="21"/>
              </w:rPr>
              <w:t>6</w:t>
            </w:r>
          </w:p>
        </w:tc>
        <w:tc>
          <w:tcPr>
            <w:tcW w:w="1925" w:type="dxa"/>
            <w:vAlign w:val="center"/>
          </w:tcPr>
          <w:p>
            <w:pPr>
              <w:jc w:val="center"/>
              <w:rPr>
                <w:sz w:val="21"/>
                <w:szCs w:val="21"/>
              </w:rPr>
            </w:pPr>
            <w:r>
              <w:rPr>
                <w:sz w:val="21"/>
                <w:szCs w:val="21"/>
              </w:rPr>
              <w:t>12</w:t>
            </w:r>
            <w:bookmarkStart w:id="59" w:name="OLE_LINK37"/>
            <w:bookmarkEnd w:id="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21"/>
                <w:szCs w:val="21"/>
              </w:rPr>
            </w:pPr>
            <w:r>
              <w:rPr>
                <w:rFonts w:hint="eastAsia"/>
                <w:sz w:val="21"/>
                <w:szCs w:val="22"/>
              </w:rPr>
              <w:t>学士</w:t>
            </w:r>
          </w:p>
        </w:tc>
        <w:tc>
          <w:tcPr>
            <w:tcW w:w="1776" w:type="dxa"/>
            <w:vAlign w:val="center"/>
          </w:tcPr>
          <w:p>
            <w:pPr>
              <w:jc w:val="center"/>
              <w:rPr>
                <w:sz w:val="21"/>
                <w:szCs w:val="21"/>
              </w:rPr>
            </w:pPr>
            <w:r>
              <w:rPr>
                <w:sz w:val="21"/>
                <w:szCs w:val="21"/>
              </w:rPr>
              <w:t>1</w:t>
            </w:r>
          </w:p>
        </w:tc>
        <w:tc>
          <w:tcPr>
            <w:tcW w:w="1628" w:type="dxa"/>
            <w:vAlign w:val="center"/>
          </w:tcPr>
          <w:p>
            <w:pPr>
              <w:jc w:val="center"/>
              <w:rPr>
                <w:sz w:val="21"/>
                <w:szCs w:val="21"/>
              </w:rPr>
            </w:pPr>
            <w:r>
              <w:rPr>
                <w:sz w:val="21"/>
                <w:szCs w:val="21"/>
              </w:rPr>
              <w:t>0.93</w:t>
            </w:r>
          </w:p>
        </w:tc>
        <w:tc>
          <w:tcPr>
            <w:tcW w:w="2074" w:type="dxa"/>
            <w:vAlign w:val="center"/>
          </w:tcPr>
          <w:p>
            <w:pPr>
              <w:jc w:val="center"/>
              <w:rPr>
                <w:sz w:val="21"/>
                <w:szCs w:val="21"/>
              </w:rPr>
            </w:pPr>
            <w:r>
              <w:rPr>
                <w:sz w:val="21"/>
                <w:szCs w:val="21"/>
              </w:rPr>
              <w:t>1</w:t>
            </w:r>
          </w:p>
        </w:tc>
        <w:tc>
          <w:tcPr>
            <w:tcW w:w="1925" w:type="dxa"/>
            <w:vAlign w:val="center"/>
          </w:tcPr>
          <w:p>
            <w:pPr>
              <w:jc w:val="center"/>
              <w:rPr>
                <w:sz w:val="21"/>
                <w:szCs w:val="21"/>
              </w:rPr>
            </w:pPr>
            <w:r>
              <w:rPr>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21"/>
                <w:szCs w:val="21"/>
              </w:rPr>
            </w:pPr>
            <w:r>
              <w:rPr>
                <w:rFonts w:hint="eastAsia"/>
                <w:sz w:val="21"/>
                <w:szCs w:val="22"/>
              </w:rPr>
              <w:t>无学位</w:t>
            </w:r>
          </w:p>
        </w:tc>
        <w:tc>
          <w:tcPr>
            <w:tcW w:w="1776" w:type="dxa"/>
            <w:vAlign w:val="center"/>
          </w:tcPr>
          <w:p>
            <w:pPr>
              <w:jc w:val="center"/>
              <w:rPr>
                <w:sz w:val="21"/>
                <w:szCs w:val="21"/>
              </w:rPr>
            </w:pPr>
            <w:r>
              <w:rPr>
                <w:sz w:val="21"/>
                <w:szCs w:val="21"/>
              </w:rPr>
              <w:t>0</w:t>
            </w:r>
          </w:p>
        </w:tc>
        <w:tc>
          <w:tcPr>
            <w:tcW w:w="1628" w:type="dxa"/>
            <w:vAlign w:val="center"/>
          </w:tcPr>
          <w:p>
            <w:pPr>
              <w:jc w:val="center"/>
              <w:rPr>
                <w:sz w:val="21"/>
                <w:szCs w:val="21"/>
              </w:rPr>
            </w:pPr>
            <w:r>
              <w:rPr>
                <w:sz w:val="21"/>
                <w:szCs w:val="21"/>
              </w:rPr>
              <w:t>0</w:t>
            </w:r>
          </w:p>
        </w:tc>
        <w:tc>
          <w:tcPr>
            <w:tcW w:w="2074" w:type="dxa"/>
            <w:vAlign w:val="center"/>
          </w:tcPr>
          <w:p>
            <w:pPr>
              <w:jc w:val="center"/>
              <w:rPr>
                <w:sz w:val="21"/>
                <w:szCs w:val="21"/>
              </w:rPr>
            </w:pPr>
            <w:r>
              <w:rPr>
                <w:sz w:val="21"/>
                <w:szCs w:val="21"/>
              </w:rPr>
              <w:t>0</w:t>
            </w:r>
          </w:p>
        </w:tc>
        <w:tc>
          <w:tcPr>
            <w:tcW w:w="1925" w:type="dxa"/>
            <w:vAlign w:val="center"/>
          </w:tcPr>
          <w:p>
            <w:pPr>
              <w:jc w:val="center"/>
              <w:rPr>
                <w:sz w:val="21"/>
                <w:szCs w:val="21"/>
              </w:rPr>
            </w:pPr>
            <w:r>
              <w:rPr>
                <w:sz w:val="21"/>
                <w:szCs w:val="21"/>
              </w:rPr>
              <w:t>0</w:t>
            </w:r>
            <w:bookmarkStart w:id="60" w:name="OLE_LINK38"/>
            <w:bookmarkEnd w:id="60"/>
          </w:p>
        </w:tc>
      </w:tr>
    </w:tbl>
    <w:p/>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4.2.3专业课校内授课教师</w:t>
      </w:r>
      <w:bookmarkStart w:id="61" w:name="OLE_LINK39"/>
      <w:r>
        <w:rPr>
          <w:rFonts w:ascii="宋体" w:hAnsi="宋体" w:eastAsia="宋体" w:cstheme="minorBidi"/>
          <w:b w:val="0"/>
          <w:bCs w:val="0"/>
          <w:kern w:val="2"/>
          <w:sz w:val="24"/>
          <w:szCs w:val="24"/>
        </w:rPr>
        <w:t>年龄</w:t>
      </w:r>
      <w:bookmarkEnd w:id="61"/>
      <w:r>
        <w:rPr>
          <w:rFonts w:ascii="宋体" w:hAnsi="宋体" w:eastAsia="宋体" w:cstheme="minorBidi"/>
          <w:b w:val="0"/>
          <w:bCs w:val="0"/>
          <w:kern w:val="2"/>
          <w:sz w:val="24"/>
          <w:szCs w:val="24"/>
        </w:rPr>
        <w:t>情况分析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593"/>
        <w:gridCol w:w="1754"/>
        <w:gridCol w:w="1916"/>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 w:type="dxa"/>
            <w:tcBorders>
              <w:top w:val="single" w:color="000000" w:sz="2" w:space="0"/>
              <w:left w:val="single" w:color="000000" w:sz="4" w:space="0"/>
              <w:bottom w:val="single" w:color="000000" w:sz="2" w:space="0"/>
              <w:right w:val="single" w:color="000000" w:sz="2" w:space="0"/>
            </w:tcBorders>
            <w:vAlign w:val="center"/>
          </w:tcPr>
          <w:p>
            <w:pPr>
              <w:jc w:val="center"/>
              <w:rPr>
                <w:sz w:val="21"/>
                <w:szCs w:val="21"/>
              </w:rPr>
            </w:pPr>
            <w:r>
              <w:rPr>
                <w:rFonts w:hint="eastAsia"/>
                <w:sz w:val="21"/>
                <w:szCs w:val="21"/>
              </w:rPr>
              <w:t>项目</w:t>
            </w:r>
          </w:p>
        </w:tc>
        <w:tc>
          <w:tcPr>
            <w:tcW w:w="1593"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专业课授课教师</w:t>
            </w:r>
          </w:p>
        </w:tc>
        <w:tc>
          <w:tcPr>
            <w:tcW w:w="1754"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比例(</w:t>
            </w:r>
            <w:r>
              <w:rPr>
                <w:sz w:val="21"/>
                <w:szCs w:val="21"/>
              </w:rPr>
              <w:t>%</w:t>
            </w:r>
            <w:r>
              <w:rPr>
                <w:rFonts w:hint="eastAsia"/>
                <w:sz w:val="21"/>
                <w:szCs w:val="21"/>
              </w:rPr>
              <w:t>)</w:t>
            </w:r>
          </w:p>
        </w:tc>
        <w:tc>
          <w:tcPr>
            <w:tcW w:w="1916"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核心课授课教师</w:t>
            </w:r>
          </w:p>
        </w:tc>
        <w:tc>
          <w:tcPr>
            <w:tcW w:w="2078"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比例(</w:t>
            </w:r>
            <w:r>
              <w:rPr>
                <w:sz w:val="21"/>
                <w:szCs w:val="21"/>
              </w:rPr>
              <w:t>%</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jc w:val="center"/>
              <w:rPr>
                <w:sz w:val="21"/>
                <w:szCs w:val="21"/>
              </w:rPr>
            </w:pPr>
            <w:r>
              <w:rPr>
                <w:rFonts w:ascii="Times New Roman" w:hAnsi="Noto Sans Mono CJK JP Regular" w:eastAsia="Times New Roman" w:cs="Noto Sans Mono CJK JP Regular"/>
                <w:b/>
                <w:sz w:val="21"/>
                <w:szCs w:val="22"/>
              </w:rPr>
              <w:t xml:space="preserve">35 </w:t>
            </w:r>
            <w:r>
              <w:rPr>
                <w:rFonts w:hint="eastAsia"/>
                <w:sz w:val="21"/>
                <w:szCs w:val="22"/>
              </w:rPr>
              <w:t>岁及以下</w:t>
            </w:r>
          </w:p>
        </w:tc>
        <w:tc>
          <w:tcPr>
            <w:tcW w:w="1593" w:type="dxa"/>
            <w:vAlign w:val="center"/>
          </w:tcPr>
          <w:p>
            <w:pPr>
              <w:jc w:val="center"/>
              <w:rPr>
                <w:sz w:val="21"/>
                <w:szCs w:val="21"/>
              </w:rPr>
            </w:pPr>
            <w:r>
              <w:rPr>
                <w:sz w:val="21"/>
                <w:szCs w:val="21"/>
              </w:rPr>
              <w:t>16</w:t>
            </w:r>
          </w:p>
        </w:tc>
        <w:tc>
          <w:tcPr>
            <w:tcW w:w="1754" w:type="dxa"/>
            <w:vAlign w:val="center"/>
          </w:tcPr>
          <w:p>
            <w:pPr>
              <w:jc w:val="center"/>
              <w:rPr>
                <w:sz w:val="21"/>
                <w:szCs w:val="21"/>
              </w:rPr>
            </w:pPr>
            <w:r>
              <w:rPr>
                <w:sz w:val="21"/>
                <w:szCs w:val="21"/>
              </w:rPr>
              <w:t>14.81</w:t>
            </w:r>
          </w:p>
        </w:tc>
        <w:tc>
          <w:tcPr>
            <w:tcW w:w="1916" w:type="dxa"/>
            <w:vAlign w:val="center"/>
          </w:tcPr>
          <w:p>
            <w:pPr>
              <w:jc w:val="center"/>
              <w:rPr>
                <w:sz w:val="21"/>
                <w:szCs w:val="21"/>
              </w:rPr>
            </w:pPr>
            <w:r>
              <w:rPr>
                <w:sz w:val="21"/>
                <w:szCs w:val="21"/>
              </w:rPr>
              <w:t>7</w:t>
            </w:r>
          </w:p>
        </w:tc>
        <w:tc>
          <w:tcPr>
            <w:tcW w:w="2078" w:type="dxa"/>
            <w:vAlign w:val="center"/>
          </w:tcPr>
          <w:p>
            <w:pPr>
              <w:jc w:val="center"/>
              <w:rPr>
                <w:sz w:val="21"/>
                <w:szCs w:val="21"/>
              </w:rPr>
            </w:pPr>
            <w:r>
              <w:rPr>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jc w:val="center"/>
              <w:rPr>
                <w:sz w:val="21"/>
                <w:szCs w:val="21"/>
              </w:rPr>
            </w:pPr>
            <w:r>
              <w:rPr>
                <w:rFonts w:ascii="Times New Roman" w:hAnsi="Noto Sans Mono CJK JP Regular" w:eastAsia="Times New Roman" w:cs="Noto Sans Mono CJK JP Regular"/>
                <w:b/>
                <w:sz w:val="21"/>
                <w:szCs w:val="22"/>
              </w:rPr>
              <w:t xml:space="preserve">36-45 </w:t>
            </w:r>
            <w:r>
              <w:rPr>
                <w:rFonts w:hint="eastAsia"/>
                <w:sz w:val="21"/>
                <w:szCs w:val="22"/>
              </w:rPr>
              <w:t>岁</w:t>
            </w:r>
          </w:p>
        </w:tc>
        <w:tc>
          <w:tcPr>
            <w:tcW w:w="1593" w:type="dxa"/>
            <w:vAlign w:val="center"/>
          </w:tcPr>
          <w:p>
            <w:pPr>
              <w:jc w:val="center"/>
              <w:rPr>
                <w:sz w:val="21"/>
                <w:szCs w:val="21"/>
              </w:rPr>
            </w:pPr>
            <w:r>
              <w:rPr>
                <w:sz w:val="21"/>
                <w:szCs w:val="21"/>
              </w:rPr>
              <w:t>53</w:t>
            </w:r>
          </w:p>
        </w:tc>
        <w:tc>
          <w:tcPr>
            <w:tcW w:w="1754" w:type="dxa"/>
            <w:vAlign w:val="center"/>
          </w:tcPr>
          <w:p>
            <w:pPr>
              <w:jc w:val="center"/>
              <w:rPr>
                <w:sz w:val="21"/>
                <w:szCs w:val="21"/>
              </w:rPr>
            </w:pPr>
            <w:r>
              <w:rPr>
                <w:sz w:val="21"/>
                <w:szCs w:val="21"/>
              </w:rPr>
              <w:t>49.07</w:t>
            </w:r>
          </w:p>
        </w:tc>
        <w:tc>
          <w:tcPr>
            <w:tcW w:w="1916" w:type="dxa"/>
            <w:vAlign w:val="center"/>
          </w:tcPr>
          <w:p>
            <w:pPr>
              <w:jc w:val="center"/>
              <w:rPr>
                <w:sz w:val="21"/>
                <w:szCs w:val="21"/>
              </w:rPr>
            </w:pPr>
            <w:r>
              <w:rPr>
                <w:sz w:val="21"/>
                <w:szCs w:val="21"/>
              </w:rPr>
              <w:t>24</w:t>
            </w:r>
          </w:p>
        </w:tc>
        <w:tc>
          <w:tcPr>
            <w:tcW w:w="2078" w:type="dxa"/>
            <w:vAlign w:val="center"/>
          </w:tcPr>
          <w:p>
            <w:pPr>
              <w:jc w:val="center"/>
              <w:rPr>
                <w:sz w:val="21"/>
                <w:szCs w:val="21"/>
              </w:rPr>
            </w:pPr>
            <w:r>
              <w:rPr>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jc w:val="center"/>
              <w:rPr>
                <w:sz w:val="21"/>
                <w:szCs w:val="21"/>
              </w:rPr>
            </w:pPr>
            <w:r>
              <w:rPr>
                <w:rFonts w:ascii="Times New Roman" w:hAnsi="Noto Sans Mono CJK JP Regular" w:eastAsia="Times New Roman" w:cs="Noto Sans Mono CJK JP Regular"/>
                <w:b/>
                <w:sz w:val="21"/>
                <w:szCs w:val="22"/>
              </w:rPr>
              <w:t xml:space="preserve">46-55 </w:t>
            </w:r>
            <w:r>
              <w:rPr>
                <w:rFonts w:hint="eastAsia"/>
                <w:sz w:val="21"/>
                <w:szCs w:val="22"/>
              </w:rPr>
              <w:t>岁</w:t>
            </w:r>
          </w:p>
        </w:tc>
        <w:tc>
          <w:tcPr>
            <w:tcW w:w="1593" w:type="dxa"/>
            <w:vAlign w:val="center"/>
          </w:tcPr>
          <w:p>
            <w:pPr>
              <w:jc w:val="center"/>
              <w:rPr>
                <w:sz w:val="21"/>
                <w:szCs w:val="21"/>
              </w:rPr>
            </w:pPr>
            <w:r>
              <w:rPr>
                <w:sz w:val="21"/>
                <w:szCs w:val="21"/>
              </w:rPr>
              <w:t>35</w:t>
            </w:r>
          </w:p>
        </w:tc>
        <w:tc>
          <w:tcPr>
            <w:tcW w:w="1754" w:type="dxa"/>
            <w:vAlign w:val="center"/>
          </w:tcPr>
          <w:p>
            <w:pPr>
              <w:jc w:val="center"/>
              <w:rPr>
                <w:sz w:val="21"/>
                <w:szCs w:val="21"/>
              </w:rPr>
            </w:pPr>
            <w:r>
              <w:rPr>
                <w:sz w:val="21"/>
                <w:szCs w:val="21"/>
              </w:rPr>
              <w:t>32.41</w:t>
            </w:r>
          </w:p>
        </w:tc>
        <w:tc>
          <w:tcPr>
            <w:tcW w:w="1916" w:type="dxa"/>
            <w:vAlign w:val="center"/>
          </w:tcPr>
          <w:p>
            <w:pPr>
              <w:jc w:val="center"/>
              <w:rPr>
                <w:sz w:val="21"/>
                <w:szCs w:val="21"/>
              </w:rPr>
            </w:pPr>
            <w:r>
              <w:rPr>
                <w:sz w:val="21"/>
                <w:szCs w:val="21"/>
              </w:rPr>
              <w:t>15</w:t>
            </w:r>
          </w:p>
        </w:tc>
        <w:tc>
          <w:tcPr>
            <w:tcW w:w="2078" w:type="dxa"/>
            <w:vAlign w:val="center"/>
          </w:tcPr>
          <w:p>
            <w:pPr>
              <w:jc w:val="center"/>
              <w:rPr>
                <w:sz w:val="21"/>
                <w:szCs w:val="21"/>
              </w:rPr>
            </w:pPr>
            <w:r>
              <w:rPr>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jc w:val="center"/>
              <w:rPr>
                <w:sz w:val="21"/>
                <w:szCs w:val="21"/>
              </w:rPr>
            </w:pPr>
            <w:r>
              <w:rPr>
                <w:rFonts w:ascii="Times New Roman" w:hAnsi="Noto Sans Mono CJK JP Regular" w:eastAsia="Times New Roman" w:cs="Noto Sans Mono CJK JP Regular"/>
                <w:b/>
                <w:sz w:val="21"/>
                <w:szCs w:val="22"/>
              </w:rPr>
              <w:t xml:space="preserve">56 </w:t>
            </w:r>
            <w:r>
              <w:rPr>
                <w:rFonts w:hint="eastAsia"/>
                <w:sz w:val="21"/>
                <w:szCs w:val="22"/>
              </w:rPr>
              <w:t>岁及以上</w:t>
            </w:r>
          </w:p>
        </w:tc>
        <w:tc>
          <w:tcPr>
            <w:tcW w:w="1593" w:type="dxa"/>
            <w:vAlign w:val="center"/>
          </w:tcPr>
          <w:p>
            <w:pPr>
              <w:jc w:val="center"/>
              <w:rPr>
                <w:sz w:val="21"/>
                <w:szCs w:val="21"/>
              </w:rPr>
            </w:pPr>
            <w:r>
              <w:rPr>
                <w:sz w:val="21"/>
                <w:szCs w:val="21"/>
              </w:rPr>
              <w:t>4</w:t>
            </w:r>
          </w:p>
        </w:tc>
        <w:tc>
          <w:tcPr>
            <w:tcW w:w="1754" w:type="dxa"/>
            <w:vAlign w:val="center"/>
          </w:tcPr>
          <w:p>
            <w:pPr>
              <w:jc w:val="center"/>
              <w:rPr>
                <w:sz w:val="21"/>
                <w:szCs w:val="21"/>
              </w:rPr>
            </w:pPr>
            <w:r>
              <w:rPr>
                <w:sz w:val="21"/>
                <w:szCs w:val="21"/>
              </w:rPr>
              <w:t>3.7</w:t>
            </w:r>
          </w:p>
        </w:tc>
        <w:tc>
          <w:tcPr>
            <w:tcW w:w="1916" w:type="dxa"/>
            <w:vAlign w:val="center"/>
          </w:tcPr>
          <w:p>
            <w:pPr>
              <w:jc w:val="center"/>
              <w:rPr>
                <w:sz w:val="21"/>
                <w:szCs w:val="21"/>
              </w:rPr>
            </w:pPr>
            <w:r>
              <w:rPr>
                <w:sz w:val="21"/>
                <w:szCs w:val="21"/>
              </w:rPr>
              <w:t>4</w:t>
            </w:r>
          </w:p>
        </w:tc>
        <w:tc>
          <w:tcPr>
            <w:tcW w:w="2078" w:type="dxa"/>
            <w:vAlign w:val="center"/>
          </w:tcPr>
          <w:p>
            <w:pPr>
              <w:jc w:val="center"/>
              <w:rPr>
                <w:sz w:val="21"/>
                <w:szCs w:val="21"/>
              </w:rPr>
            </w:pPr>
            <w:r>
              <w:rPr>
                <w:sz w:val="21"/>
                <w:szCs w:val="21"/>
              </w:rPr>
              <w:t>8</w:t>
            </w:r>
            <w:bookmarkStart w:id="62" w:name="OLE_LINK40"/>
            <w:bookmarkEnd w:id="62"/>
          </w:p>
        </w:tc>
      </w:tr>
    </w:tbl>
    <w:p/>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4.2.4专业课校内授课教师来源情况分析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43"/>
        <w:gridCol w:w="1786"/>
        <w:gridCol w:w="1929"/>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tcBorders>
              <w:top w:val="single" w:color="000000" w:sz="2" w:space="0"/>
              <w:left w:val="single" w:color="000000" w:sz="4" w:space="0"/>
              <w:bottom w:val="single" w:color="000000" w:sz="2" w:space="0"/>
              <w:right w:val="single" w:color="000000" w:sz="2" w:space="0"/>
            </w:tcBorders>
            <w:vAlign w:val="center"/>
          </w:tcPr>
          <w:p>
            <w:pPr>
              <w:jc w:val="center"/>
              <w:rPr>
                <w:sz w:val="21"/>
                <w:szCs w:val="21"/>
              </w:rPr>
            </w:pPr>
            <w:r>
              <w:rPr>
                <w:rFonts w:hint="eastAsia"/>
                <w:sz w:val="21"/>
                <w:szCs w:val="21"/>
              </w:rPr>
              <w:t>项目</w:t>
            </w:r>
          </w:p>
        </w:tc>
        <w:tc>
          <w:tcPr>
            <w:tcW w:w="1643"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专业课授课教师</w:t>
            </w:r>
          </w:p>
        </w:tc>
        <w:tc>
          <w:tcPr>
            <w:tcW w:w="1786"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比例(</w:t>
            </w:r>
            <w:r>
              <w:rPr>
                <w:sz w:val="21"/>
                <w:szCs w:val="21"/>
              </w:rPr>
              <w:t>%</w:t>
            </w:r>
            <w:r>
              <w:rPr>
                <w:rFonts w:hint="eastAsia"/>
                <w:sz w:val="21"/>
                <w:szCs w:val="21"/>
              </w:rPr>
              <w:t>)</w:t>
            </w:r>
          </w:p>
        </w:tc>
        <w:tc>
          <w:tcPr>
            <w:tcW w:w="1929"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核心课授课教师</w:t>
            </w:r>
          </w:p>
        </w:tc>
        <w:tc>
          <w:tcPr>
            <w:tcW w:w="2071" w:type="dxa"/>
            <w:tcBorders>
              <w:top w:val="single" w:color="000000" w:sz="2" w:space="0"/>
              <w:left w:val="single" w:color="000000" w:sz="2" w:space="0"/>
              <w:bottom w:val="single" w:color="000000" w:sz="2" w:space="0"/>
              <w:right w:val="single" w:color="000000" w:sz="2" w:space="0"/>
            </w:tcBorders>
            <w:vAlign w:val="center"/>
          </w:tcPr>
          <w:p>
            <w:pPr>
              <w:jc w:val="center"/>
              <w:rPr>
                <w:sz w:val="21"/>
                <w:szCs w:val="21"/>
              </w:rPr>
            </w:pPr>
            <w:r>
              <w:rPr>
                <w:rFonts w:hint="eastAsia"/>
                <w:sz w:val="21"/>
                <w:szCs w:val="21"/>
              </w:rPr>
              <w:t>比例(</w:t>
            </w:r>
            <w:r>
              <w:rPr>
                <w:sz w:val="21"/>
                <w:szCs w:val="21"/>
              </w:rPr>
              <w:t>%</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sz w:val="21"/>
                <w:szCs w:val="21"/>
              </w:rPr>
            </w:pPr>
            <w:r>
              <w:rPr>
                <w:rFonts w:hint="eastAsia"/>
                <w:sz w:val="21"/>
                <w:szCs w:val="22"/>
              </w:rPr>
              <w:t>本专业</w:t>
            </w:r>
          </w:p>
        </w:tc>
        <w:tc>
          <w:tcPr>
            <w:tcW w:w="1643" w:type="dxa"/>
            <w:vAlign w:val="center"/>
          </w:tcPr>
          <w:p>
            <w:pPr>
              <w:jc w:val="center"/>
              <w:rPr>
                <w:sz w:val="21"/>
                <w:szCs w:val="21"/>
              </w:rPr>
            </w:pPr>
            <w:r>
              <w:rPr>
                <w:sz w:val="21"/>
                <w:szCs w:val="21"/>
              </w:rPr>
              <w:t>8</w:t>
            </w:r>
          </w:p>
        </w:tc>
        <w:tc>
          <w:tcPr>
            <w:tcW w:w="1786" w:type="dxa"/>
            <w:vAlign w:val="center"/>
          </w:tcPr>
          <w:p>
            <w:pPr>
              <w:jc w:val="center"/>
              <w:rPr>
                <w:sz w:val="21"/>
                <w:szCs w:val="21"/>
              </w:rPr>
            </w:pPr>
            <w:r>
              <w:rPr>
                <w:sz w:val="21"/>
                <w:szCs w:val="21"/>
              </w:rPr>
              <w:t>7.41</w:t>
            </w:r>
          </w:p>
        </w:tc>
        <w:tc>
          <w:tcPr>
            <w:tcW w:w="1929" w:type="dxa"/>
            <w:vAlign w:val="center"/>
          </w:tcPr>
          <w:p>
            <w:pPr>
              <w:jc w:val="center"/>
              <w:rPr>
                <w:sz w:val="21"/>
                <w:szCs w:val="21"/>
              </w:rPr>
            </w:pPr>
            <w:r>
              <w:rPr>
                <w:sz w:val="21"/>
                <w:szCs w:val="21"/>
              </w:rPr>
              <w:t>4</w:t>
            </w:r>
            <w:bookmarkStart w:id="63" w:name="OLE_LINK41"/>
            <w:bookmarkEnd w:id="63"/>
          </w:p>
        </w:tc>
        <w:tc>
          <w:tcPr>
            <w:tcW w:w="2071" w:type="dxa"/>
            <w:vAlign w:val="center"/>
          </w:tcPr>
          <w:p>
            <w:pPr>
              <w:jc w:val="center"/>
              <w:rPr>
                <w:sz w:val="21"/>
                <w:szCs w:val="21"/>
              </w:rPr>
            </w:pPr>
            <w:r>
              <w:rPr>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sz w:val="21"/>
                <w:szCs w:val="21"/>
              </w:rPr>
            </w:pPr>
            <w:r>
              <w:rPr>
                <w:rFonts w:hint="eastAsia"/>
                <w:sz w:val="21"/>
                <w:szCs w:val="22"/>
              </w:rPr>
              <w:t>本学院外专业</w:t>
            </w:r>
          </w:p>
        </w:tc>
        <w:tc>
          <w:tcPr>
            <w:tcW w:w="1643" w:type="dxa"/>
            <w:vAlign w:val="center"/>
          </w:tcPr>
          <w:p>
            <w:pPr>
              <w:jc w:val="center"/>
              <w:rPr>
                <w:sz w:val="21"/>
                <w:szCs w:val="21"/>
              </w:rPr>
            </w:pPr>
            <w:r>
              <w:rPr>
                <w:sz w:val="21"/>
                <w:szCs w:val="21"/>
              </w:rPr>
              <w:t>63</w:t>
            </w:r>
          </w:p>
        </w:tc>
        <w:tc>
          <w:tcPr>
            <w:tcW w:w="1786" w:type="dxa"/>
            <w:vAlign w:val="center"/>
          </w:tcPr>
          <w:p>
            <w:pPr>
              <w:jc w:val="center"/>
              <w:rPr>
                <w:sz w:val="21"/>
                <w:szCs w:val="21"/>
              </w:rPr>
            </w:pPr>
            <w:r>
              <w:rPr>
                <w:sz w:val="21"/>
                <w:szCs w:val="21"/>
              </w:rPr>
              <w:t>58.33</w:t>
            </w:r>
          </w:p>
        </w:tc>
        <w:tc>
          <w:tcPr>
            <w:tcW w:w="1929" w:type="dxa"/>
            <w:vAlign w:val="center"/>
          </w:tcPr>
          <w:p>
            <w:pPr>
              <w:jc w:val="center"/>
              <w:rPr>
                <w:sz w:val="21"/>
                <w:szCs w:val="21"/>
              </w:rPr>
            </w:pPr>
            <w:r>
              <w:rPr>
                <w:sz w:val="21"/>
                <w:szCs w:val="21"/>
              </w:rPr>
              <w:t>31</w:t>
            </w:r>
          </w:p>
        </w:tc>
        <w:tc>
          <w:tcPr>
            <w:tcW w:w="2071" w:type="dxa"/>
            <w:vAlign w:val="center"/>
          </w:tcPr>
          <w:p>
            <w:pPr>
              <w:jc w:val="center"/>
              <w:rPr>
                <w:sz w:val="21"/>
                <w:szCs w:val="21"/>
              </w:rPr>
            </w:pPr>
            <w:r>
              <w:rPr>
                <w:sz w:val="21"/>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sz w:val="21"/>
                <w:szCs w:val="21"/>
              </w:rPr>
            </w:pPr>
            <w:r>
              <w:rPr>
                <w:rFonts w:hint="eastAsia"/>
                <w:sz w:val="21"/>
                <w:szCs w:val="22"/>
              </w:rPr>
              <w:t>校内其他单位</w:t>
            </w:r>
          </w:p>
        </w:tc>
        <w:tc>
          <w:tcPr>
            <w:tcW w:w="1643" w:type="dxa"/>
            <w:vAlign w:val="center"/>
          </w:tcPr>
          <w:p>
            <w:pPr>
              <w:jc w:val="center"/>
              <w:rPr>
                <w:sz w:val="21"/>
                <w:szCs w:val="21"/>
              </w:rPr>
            </w:pPr>
            <w:r>
              <w:rPr>
                <w:sz w:val="21"/>
                <w:szCs w:val="21"/>
              </w:rPr>
              <w:t>37</w:t>
            </w:r>
          </w:p>
        </w:tc>
        <w:tc>
          <w:tcPr>
            <w:tcW w:w="1786" w:type="dxa"/>
            <w:vAlign w:val="center"/>
          </w:tcPr>
          <w:p>
            <w:pPr>
              <w:jc w:val="center"/>
              <w:rPr>
                <w:sz w:val="21"/>
                <w:szCs w:val="21"/>
              </w:rPr>
            </w:pPr>
            <w:r>
              <w:rPr>
                <w:sz w:val="21"/>
                <w:szCs w:val="21"/>
              </w:rPr>
              <w:t>34.26</w:t>
            </w:r>
          </w:p>
        </w:tc>
        <w:tc>
          <w:tcPr>
            <w:tcW w:w="1929" w:type="dxa"/>
            <w:vAlign w:val="center"/>
          </w:tcPr>
          <w:p>
            <w:pPr>
              <w:jc w:val="center"/>
              <w:rPr>
                <w:sz w:val="21"/>
                <w:szCs w:val="21"/>
              </w:rPr>
            </w:pPr>
            <w:r>
              <w:rPr>
                <w:sz w:val="21"/>
                <w:szCs w:val="21"/>
              </w:rPr>
              <w:t>15</w:t>
            </w:r>
          </w:p>
        </w:tc>
        <w:tc>
          <w:tcPr>
            <w:tcW w:w="2071" w:type="dxa"/>
            <w:vAlign w:val="center"/>
          </w:tcPr>
          <w:p>
            <w:pPr>
              <w:jc w:val="center"/>
              <w:rPr>
                <w:sz w:val="21"/>
                <w:szCs w:val="21"/>
              </w:rPr>
            </w:pPr>
            <w:r>
              <w:rPr>
                <w:sz w:val="21"/>
                <w:szCs w:val="21"/>
              </w:rPr>
              <w:t>30</w:t>
            </w:r>
          </w:p>
        </w:tc>
      </w:tr>
    </w:tbl>
    <w:p/>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4.2.5专业课外聘授课教师情况分析</w:t>
      </w:r>
    </w:p>
    <w:tbl>
      <w:tblPr>
        <w:tblStyle w:val="18"/>
        <w:tblW w:w="8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2750"/>
        <w:gridCol w:w="2106"/>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15" w:type="dxa"/>
            <w:gridSpan w:val="2"/>
            <w:vAlign w:val="center"/>
          </w:tcPr>
          <w:p>
            <w:pPr>
              <w:jc w:val="center"/>
              <w:rPr>
                <w:sz w:val="21"/>
                <w:szCs w:val="21"/>
              </w:rPr>
            </w:pPr>
            <w:r>
              <w:rPr>
                <w:rFonts w:hint="eastAsia"/>
                <w:sz w:val="21"/>
                <w:szCs w:val="21"/>
              </w:rPr>
              <w:t>项目</w:t>
            </w:r>
          </w:p>
        </w:tc>
        <w:tc>
          <w:tcPr>
            <w:tcW w:w="2106" w:type="dxa"/>
            <w:vAlign w:val="center"/>
          </w:tcPr>
          <w:p>
            <w:pPr>
              <w:jc w:val="center"/>
              <w:rPr>
                <w:sz w:val="21"/>
                <w:szCs w:val="21"/>
              </w:rPr>
            </w:pPr>
            <w:r>
              <w:rPr>
                <w:rFonts w:hint="eastAsia"/>
                <w:sz w:val="21"/>
                <w:szCs w:val="21"/>
              </w:rPr>
              <w:t>数量</w:t>
            </w:r>
          </w:p>
        </w:tc>
        <w:tc>
          <w:tcPr>
            <w:tcW w:w="2212" w:type="dxa"/>
            <w:vAlign w:val="center"/>
          </w:tcPr>
          <w:p>
            <w:pPr>
              <w:jc w:val="center"/>
              <w:rPr>
                <w:sz w:val="21"/>
                <w:szCs w:val="21"/>
              </w:rPr>
            </w:pPr>
            <w:r>
              <w:rPr>
                <w:rFonts w:hint="eastAsia"/>
                <w:sz w:val="21"/>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15" w:type="dxa"/>
            <w:gridSpan w:val="2"/>
            <w:vAlign w:val="center"/>
          </w:tcPr>
          <w:p>
            <w:pPr>
              <w:jc w:val="center"/>
              <w:rPr>
                <w:sz w:val="21"/>
                <w:szCs w:val="21"/>
              </w:rPr>
            </w:pPr>
            <w:r>
              <w:rPr>
                <w:rFonts w:hint="eastAsia"/>
                <w:sz w:val="21"/>
                <w:szCs w:val="21"/>
              </w:rPr>
              <w:t>总数</w:t>
            </w:r>
          </w:p>
        </w:tc>
        <w:tc>
          <w:tcPr>
            <w:tcW w:w="2106" w:type="dxa"/>
            <w:vAlign w:val="center"/>
          </w:tcPr>
          <w:p>
            <w:pPr>
              <w:jc w:val="center"/>
              <w:rPr>
                <w:rFonts w:hint="eastAsia" w:eastAsia="宋体"/>
                <w:sz w:val="21"/>
                <w:szCs w:val="21"/>
                <w:lang w:eastAsia="zh-CN"/>
              </w:rPr>
            </w:pPr>
            <w:r>
              <w:rPr>
                <w:rFonts w:hint="eastAsia"/>
                <w:sz w:val="21"/>
                <w:szCs w:val="21"/>
                <w:lang w:val="en-US" w:eastAsia="zh-CN"/>
              </w:rPr>
              <w:t>3</w:t>
            </w:r>
          </w:p>
        </w:tc>
        <w:tc>
          <w:tcPr>
            <w:tcW w:w="2212" w:type="dxa"/>
            <w:vAlign w:val="center"/>
          </w:tcPr>
          <w:p>
            <w:pPr>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restart"/>
            <w:vAlign w:val="center"/>
          </w:tcPr>
          <w:p>
            <w:pPr>
              <w:jc w:val="center"/>
              <w:rPr>
                <w:sz w:val="21"/>
                <w:szCs w:val="21"/>
              </w:rPr>
            </w:pPr>
            <w:bookmarkStart w:id="64" w:name="OLE_LINK42"/>
            <w:r>
              <w:rPr>
                <w:rFonts w:hint="eastAsia"/>
                <w:sz w:val="21"/>
                <w:szCs w:val="21"/>
              </w:rPr>
              <w:t>职称</w:t>
            </w:r>
            <w:bookmarkEnd w:id="64"/>
          </w:p>
        </w:tc>
        <w:tc>
          <w:tcPr>
            <w:tcW w:w="2750" w:type="dxa"/>
            <w:vAlign w:val="center"/>
          </w:tcPr>
          <w:p>
            <w:pPr>
              <w:jc w:val="center"/>
              <w:rPr>
                <w:sz w:val="21"/>
                <w:szCs w:val="21"/>
              </w:rPr>
            </w:pPr>
            <w:r>
              <w:rPr>
                <w:rFonts w:hint="eastAsia"/>
                <w:sz w:val="21"/>
                <w:szCs w:val="21"/>
              </w:rPr>
              <w:t>教授</w:t>
            </w:r>
          </w:p>
        </w:tc>
        <w:tc>
          <w:tcPr>
            <w:tcW w:w="2106" w:type="dxa"/>
            <w:vAlign w:val="center"/>
          </w:tcPr>
          <w:p>
            <w:pPr>
              <w:jc w:val="center"/>
              <w:rPr>
                <w:sz w:val="21"/>
                <w:szCs w:val="21"/>
              </w:rPr>
            </w:pPr>
            <w:r>
              <w:rPr>
                <w:sz w:val="21"/>
                <w:szCs w:val="21"/>
              </w:rPr>
              <w:t>0</w:t>
            </w:r>
          </w:p>
        </w:tc>
        <w:tc>
          <w:tcPr>
            <w:tcW w:w="2212"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1"/>
              </w:rPr>
              <w:t>副教授</w:t>
            </w:r>
          </w:p>
        </w:tc>
        <w:tc>
          <w:tcPr>
            <w:tcW w:w="2106" w:type="dxa"/>
            <w:vAlign w:val="center"/>
          </w:tcPr>
          <w:p>
            <w:pPr>
              <w:jc w:val="center"/>
              <w:rPr>
                <w:sz w:val="21"/>
                <w:szCs w:val="21"/>
              </w:rPr>
            </w:pPr>
            <w:r>
              <w:rPr>
                <w:sz w:val="21"/>
                <w:szCs w:val="21"/>
              </w:rPr>
              <w:t>0</w:t>
            </w:r>
          </w:p>
        </w:tc>
        <w:tc>
          <w:tcPr>
            <w:tcW w:w="2212" w:type="dxa"/>
            <w:vAlign w:val="center"/>
          </w:tcPr>
          <w:p>
            <w:pPr>
              <w:jc w:val="center"/>
              <w:rPr>
                <w:sz w:val="21"/>
                <w:szCs w:val="21"/>
              </w:rPr>
            </w:pPr>
            <w:r>
              <w:rPr>
                <w:sz w:val="21"/>
                <w:szCs w:val="21"/>
              </w:rPr>
              <w:t>0</w:t>
            </w:r>
            <w:bookmarkStart w:id="65" w:name="OLE_LINK43"/>
            <w:bookmarkEnd w:id="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1"/>
              </w:rPr>
              <w:t>讲师</w:t>
            </w:r>
          </w:p>
        </w:tc>
        <w:tc>
          <w:tcPr>
            <w:tcW w:w="2106" w:type="dxa"/>
            <w:vAlign w:val="center"/>
          </w:tcPr>
          <w:p>
            <w:pPr>
              <w:jc w:val="center"/>
              <w:rPr>
                <w:sz w:val="21"/>
                <w:szCs w:val="21"/>
              </w:rPr>
            </w:pPr>
            <w:r>
              <w:rPr>
                <w:sz w:val="21"/>
                <w:szCs w:val="21"/>
              </w:rPr>
              <w:t>0</w:t>
            </w:r>
          </w:p>
        </w:tc>
        <w:tc>
          <w:tcPr>
            <w:tcW w:w="2212" w:type="dxa"/>
            <w:vAlign w:val="center"/>
          </w:tcPr>
          <w:p>
            <w:pPr>
              <w:jc w:val="center"/>
              <w:rPr>
                <w:sz w:val="21"/>
                <w:szCs w:val="21"/>
              </w:rPr>
            </w:pPr>
            <w:r>
              <w:rPr>
                <w:sz w:val="21"/>
                <w:szCs w:val="21"/>
              </w:rPr>
              <w:t>0</w:t>
            </w:r>
            <w:bookmarkStart w:id="66" w:name="OLE_LINK44"/>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1"/>
              </w:rPr>
              <w:t>助教</w:t>
            </w:r>
          </w:p>
        </w:tc>
        <w:tc>
          <w:tcPr>
            <w:tcW w:w="2106" w:type="dxa"/>
            <w:vAlign w:val="center"/>
          </w:tcPr>
          <w:p>
            <w:pPr>
              <w:jc w:val="center"/>
              <w:rPr>
                <w:sz w:val="21"/>
                <w:szCs w:val="21"/>
              </w:rPr>
            </w:pPr>
            <w:r>
              <w:rPr>
                <w:sz w:val="21"/>
                <w:szCs w:val="21"/>
              </w:rPr>
              <w:t>0</w:t>
            </w:r>
          </w:p>
        </w:tc>
        <w:tc>
          <w:tcPr>
            <w:tcW w:w="2212"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1"/>
              </w:rPr>
              <w:t>其他正高级</w:t>
            </w:r>
          </w:p>
        </w:tc>
        <w:tc>
          <w:tcPr>
            <w:tcW w:w="2106" w:type="dxa"/>
            <w:vAlign w:val="center"/>
          </w:tcPr>
          <w:p>
            <w:pPr>
              <w:jc w:val="center"/>
              <w:rPr>
                <w:sz w:val="21"/>
                <w:szCs w:val="21"/>
              </w:rPr>
            </w:pPr>
            <w:r>
              <w:rPr>
                <w:sz w:val="21"/>
                <w:szCs w:val="21"/>
              </w:rPr>
              <w:t>0</w:t>
            </w:r>
          </w:p>
        </w:tc>
        <w:tc>
          <w:tcPr>
            <w:tcW w:w="2212"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1"/>
              </w:rPr>
              <w:t>其他副高级</w:t>
            </w:r>
          </w:p>
        </w:tc>
        <w:tc>
          <w:tcPr>
            <w:tcW w:w="2106" w:type="dxa"/>
            <w:vAlign w:val="center"/>
          </w:tcPr>
          <w:p>
            <w:pPr>
              <w:jc w:val="center"/>
              <w:rPr>
                <w:sz w:val="21"/>
                <w:szCs w:val="21"/>
              </w:rPr>
            </w:pPr>
            <w:r>
              <w:rPr>
                <w:sz w:val="21"/>
                <w:szCs w:val="21"/>
              </w:rPr>
              <w:t>0</w:t>
            </w:r>
          </w:p>
        </w:tc>
        <w:tc>
          <w:tcPr>
            <w:tcW w:w="2212"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1"/>
              </w:rPr>
              <w:t>其他中级</w:t>
            </w:r>
          </w:p>
        </w:tc>
        <w:tc>
          <w:tcPr>
            <w:tcW w:w="2106" w:type="dxa"/>
            <w:vAlign w:val="center"/>
          </w:tcPr>
          <w:p>
            <w:pPr>
              <w:jc w:val="center"/>
              <w:rPr>
                <w:sz w:val="21"/>
                <w:szCs w:val="21"/>
              </w:rPr>
            </w:pPr>
            <w:r>
              <w:rPr>
                <w:sz w:val="21"/>
                <w:szCs w:val="21"/>
              </w:rPr>
              <w:t>0</w:t>
            </w:r>
          </w:p>
        </w:tc>
        <w:tc>
          <w:tcPr>
            <w:tcW w:w="2212"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1"/>
              </w:rPr>
              <w:t>其他初级</w:t>
            </w:r>
          </w:p>
        </w:tc>
        <w:tc>
          <w:tcPr>
            <w:tcW w:w="2106" w:type="dxa"/>
            <w:vAlign w:val="center"/>
          </w:tcPr>
          <w:p>
            <w:pPr>
              <w:jc w:val="center"/>
              <w:rPr>
                <w:sz w:val="21"/>
                <w:szCs w:val="21"/>
              </w:rPr>
            </w:pPr>
            <w:r>
              <w:rPr>
                <w:sz w:val="21"/>
                <w:szCs w:val="21"/>
              </w:rPr>
              <w:t>0</w:t>
            </w:r>
          </w:p>
        </w:tc>
        <w:tc>
          <w:tcPr>
            <w:tcW w:w="2212"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1"/>
              </w:rPr>
              <w:t>未评级</w:t>
            </w:r>
          </w:p>
        </w:tc>
        <w:tc>
          <w:tcPr>
            <w:tcW w:w="2106" w:type="dxa"/>
            <w:vAlign w:val="center"/>
          </w:tcPr>
          <w:p>
            <w:pPr>
              <w:jc w:val="center"/>
              <w:rPr>
                <w:rFonts w:hint="eastAsia" w:eastAsia="宋体"/>
                <w:sz w:val="21"/>
                <w:szCs w:val="21"/>
                <w:lang w:eastAsia="zh-CN"/>
              </w:rPr>
            </w:pPr>
            <w:r>
              <w:rPr>
                <w:rFonts w:hint="eastAsia"/>
                <w:sz w:val="21"/>
                <w:szCs w:val="21"/>
                <w:lang w:val="en-US" w:eastAsia="zh-CN"/>
              </w:rPr>
              <w:t>3</w:t>
            </w:r>
          </w:p>
        </w:tc>
        <w:tc>
          <w:tcPr>
            <w:tcW w:w="2212" w:type="dxa"/>
            <w:vAlign w:val="center"/>
          </w:tcPr>
          <w:p>
            <w:pPr>
              <w:jc w:val="center"/>
              <w:rPr>
                <w:rFonts w:hint="eastAsia" w:eastAsia="宋体"/>
                <w:sz w:val="21"/>
                <w:szCs w:val="21"/>
                <w:lang w:val="en-US" w:eastAsia="zh-CN"/>
              </w:rPr>
            </w:pPr>
            <w:r>
              <w:rPr>
                <w:rFonts w:hint="eastAsia"/>
                <w:sz w:val="21"/>
                <w:szCs w:val="21"/>
                <w:lang w:val="en-US" w:eastAsia="zh-CN"/>
              </w:rPr>
              <w:t>10</w:t>
            </w:r>
            <w:r>
              <w:rPr>
                <w:sz w:val="21"/>
                <w:szCs w:val="21"/>
              </w:rPr>
              <w:t>0</w:t>
            </w: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restart"/>
            <w:vAlign w:val="center"/>
          </w:tcPr>
          <w:p>
            <w:pPr>
              <w:jc w:val="center"/>
              <w:rPr>
                <w:sz w:val="21"/>
                <w:szCs w:val="21"/>
              </w:rPr>
            </w:pPr>
            <w:r>
              <w:rPr>
                <w:rFonts w:hint="eastAsia"/>
                <w:sz w:val="21"/>
                <w:szCs w:val="21"/>
              </w:rPr>
              <w:t>最高学位</w:t>
            </w:r>
          </w:p>
        </w:tc>
        <w:tc>
          <w:tcPr>
            <w:tcW w:w="2750" w:type="dxa"/>
            <w:vAlign w:val="center"/>
          </w:tcPr>
          <w:p>
            <w:pPr>
              <w:jc w:val="center"/>
              <w:rPr>
                <w:sz w:val="21"/>
                <w:szCs w:val="21"/>
              </w:rPr>
            </w:pPr>
            <w:r>
              <w:rPr>
                <w:rFonts w:hint="eastAsia"/>
                <w:sz w:val="21"/>
                <w:szCs w:val="22"/>
              </w:rPr>
              <w:t>博士</w:t>
            </w:r>
          </w:p>
        </w:tc>
        <w:tc>
          <w:tcPr>
            <w:tcW w:w="2106" w:type="dxa"/>
            <w:vAlign w:val="center"/>
          </w:tcPr>
          <w:p>
            <w:pPr>
              <w:jc w:val="center"/>
              <w:rPr>
                <w:rFonts w:hint="default" w:eastAsia="宋体"/>
                <w:sz w:val="21"/>
                <w:szCs w:val="21"/>
                <w:lang w:val="en-US" w:eastAsia="zh-CN"/>
              </w:rPr>
            </w:pPr>
            <w:r>
              <w:rPr>
                <w:rFonts w:hint="eastAsia"/>
                <w:sz w:val="21"/>
                <w:szCs w:val="21"/>
                <w:lang w:val="en-US" w:eastAsia="zh-CN"/>
              </w:rPr>
              <w:t>2</w:t>
            </w:r>
          </w:p>
        </w:tc>
        <w:tc>
          <w:tcPr>
            <w:tcW w:w="2212" w:type="dxa"/>
            <w:vAlign w:val="center"/>
          </w:tcPr>
          <w:p>
            <w:pPr>
              <w:jc w:val="center"/>
              <w:rPr>
                <w:rFonts w:hint="default" w:eastAsia="宋体"/>
                <w:sz w:val="21"/>
                <w:szCs w:val="21"/>
                <w:lang w:val="en-US" w:eastAsia="zh-CN"/>
              </w:rPr>
            </w:pPr>
            <w:r>
              <w:rPr>
                <w:rFonts w:hint="eastAsia"/>
                <w:sz w:val="21"/>
                <w:szCs w:val="21"/>
                <w:lang w:val="en-US" w:eastAsia="zh-CN"/>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2"/>
              </w:rPr>
              <w:t>硕士</w:t>
            </w:r>
          </w:p>
        </w:tc>
        <w:tc>
          <w:tcPr>
            <w:tcW w:w="2106" w:type="dxa"/>
            <w:vAlign w:val="center"/>
          </w:tcPr>
          <w:p>
            <w:pPr>
              <w:jc w:val="center"/>
              <w:rPr>
                <w:sz w:val="21"/>
                <w:szCs w:val="21"/>
              </w:rPr>
            </w:pPr>
            <w:r>
              <w:rPr>
                <w:sz w:val="21"/>
                <w:szCs w:val="21"/>
              </w:rPr>
              <w:t>0</w:t>
            </w:r>
          </w:p>
        </w:tc>
        <w:tc>
          <w:tcPr>
            <w:tcW w:w="2212"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2"/>
              </w:rPr>
              <w:t>学士</w:t>
            </w:r>
          </w:p>
        </w:tc>
        <w:tc>
          <w:tcPr>
            <w:tcW w:w="2106" w:type="dxa"/>
            <w:vAlign w:val="center"/>
          </w:tcPr>
          <w:p>
            <w:pPr>
              <w:jc w:val="center"/>
              <w:rPr>
                <w:rFonts w:hint="eastAsia" w:eastAsia="宋体"/>
                <w:sz w:val="21"/>
                <w:szCs w:val="21"/>
                <w:lang w:eastAsia="zh-CN"/>
              </w:rPr>
            </w:pPr>
            <w:r>
              <w:rPr>
                <w:rFonts w:hint="eastAsia"/>
                <w:sz w:val="21"/>
                <w:szCs w:val="21"/>
                <w:lang w:val="en-US" w:eastAsia="zh-CN"/>
              </w:rPr>
              <w:t>1</w:t>
            </w:r>
          </w:p>
        </w:tc>
        <w:tc>
          <w:tcPr>
            <w:tcW w:w="2212" w:type="dxa"/>
            <w:vAlign w:val="center"/>
          </w:tcPr>
          <w:p>
            <w:pPr>
              <w:jc w:val="center"/>
              <w:rPr>
                <w:rFonts w:hint="default" w:eastAsia="宋体"/>
                <w:sz w:val="21"/>
                <w:szCs w:val="21"/>
                <w:lang w:val="en-US" w:eastAsia="zh-CN"/>
              </w:rPr>
            </w:pPr>
            <w:r>
              <w:rPr>
                <w:rFonts w:hint="eastAsia"/>
                <w:sz w:val="21"/>
                <w:szCs w:val="21"/>
                <w:lang w:val="en-US"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sz w:val="21"/>
                <w:szCs w:val="21"/>
              </w:rPr>
            </w:pPr>
          </w:p>
        </w:tc>
        <w:tc>
          <w:tcPr>
            <w:tcW w:w="2750" w:type="dxa"/>
            <w:vAlign w:val="center"/>
          </w:tcPr>
          <w:p>
            <w:pPr>
              <w:jc w:val="center"/>
              <w:rPr>
                <w:sz w:val="21"/>
                <w:szCs w:val="21"/>
              </w:rPr>
            </w:pPr>
            <w:r>
              <w:rPr>
                <w:rFonts w:hint="eastAsia"/>
                <w:sz w:val="21"/>
                <w:szCs w:val="22"/>
              </w:rPr>
              <w:t>无学位</w:t>
            </w:r>
          </w:p>
        </w:tc>
        <w:tc>
          <w:tcPr>
            <w:tcW w:w="2106" w:type="dxa"/>
            <w:vAlign w:val="center"/>
          </w:tcPr>
          <w:p>
            <w:pPr>
              <w:jc w:val="center"/>
              <w:rPr>
                <w:sz w:val="21"/>
                <w:szCs w:val="21"/>
              </w:rPr>
            </w:pPr>
            <w:r>
              <w:rPr>
                <w:sz w:val="21"/>
                <w:szCs w:val="21"/>
              </w:rPr>
              <w:t>0</w:t>
            </w:r>
          </w:p>
        </w:tc>
        <w:tc>
          <w:tcPr>
            <w:tcW w:w="2212" w:type="dxa"/>
            <w:vAlign w:val="center"/>
          </w:tcPr>
          <w:p>
            <w:pPr>
              <w:jc w:val="center"/>
              <w:rPr>
                <w:sz w:val="21"/>
                <w:szCs w:val="21"/>
              </w:rPr>
            </w:pPr>
            <w:r>
              <w:rPr>
                <w:sz w:val="21"/>
                <w:szCs w:val="21"/>
              </w:rPr>
              <w:t>0</w:t>
            </w:r>
          </w:p>
        </w:tc>
      </w:tr>
    </w:tbl>
    <w:p/>
    <w:p>
      <w:pPr>
        <w:pStyle w:val="4"/>
        <w:rPr>
          <w:rFonts w:ascii="宋体" w:hAnsi="宋体" w:eastAsia="宋体"/>
          <w:b w:val="0"/>
          <w:bCs w:val="0"/>
          <w:sz w:val="24"/>
          <w:szCs w:val="24"/>
        </w:rPr>
      </w:pPr>
      <w:bookmarkStart w:id="67" w:name="_Toc155617892"/>
      <w:r>
        <w:rPr>
          <w:rFonts w:ascii="宋体" w:hAnsi="宋体" w:eastAsia="宋体"/>
          <w:b w:val="0"/>
          <w:bCs w:val="0"/>
          <w:sz w:val="24"/>
          <w:szCs w:val="24"/>
        </w:rPr>
        <w:t>4.3</w:t>
      </w:r>
      <w:bookmarkStart w:id="68" w:name="OLE_LINK45"/>
      <w:r>
        <w:rPr>
          <w:rFonts w:hint="eastAsia" w:ascii="宋体" w:hAnsi="宋体" w:eastAsia="宋体"/>
          <w:b w:val="0"/>
          <w:bCs w:val="0"/>
          <w:sz w:val="24"/>
          <w:szCs w:val="24"/>
        </w:rPr>
        <w:t>教师教学</w:t>
      </w:r>
      <w:bookmarkEnd w:id="68"/>
      <w:r>
        <w:rPr>
          <w:rFonts w:hint="eastAsia" w:ascii="宋体" w:hAnsi="宋体" w:eastAsia="宋体"/>
          <w:b w:val="0"/>
          <w:bCs w:val="0"/>
          <w:sz w:val="24"/>
          <w:szCs w:val="24"/>
        </w:rPr>
        <w:t>科研情况</w:t>
      </w:r>
      <w:bookmarkEnd w:id="67"/>
      <w:r>
        <w:rPr>
          <w:rFonts w:hint="eastAsia" w:ascii="宋体" w:hAnsi="宋体" w:eastAsia="宋体"/>
          <w:b w:val="0"/>
          <w:bCs w:val="0"/>
          <w:sz w:val="24"/>
          <w:szCs w:val="24"/>
        </w:rPr>
        <w:t xml:space="preserve"> </w:t>
      </w:r>
    </w:p>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4.3.1教师主持教育教学改革项目情况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552"/>
        <w:gridCol w:w="1559"/>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jc w:val="center"/>
              <w:rPr>
                <w:sz w:val="21"/>
                <w:szCs w:val="21"/>
              </w:rPr>
            </w:pPr>
            <w:r>
              <w:rPr>
                <w:rFonts w:hint="eastAsia"/>
                <w:sz w:val="21"/>
                <w:szCs w:val="21"/>
              </w:rPr>
              <w:t>类别</w:t>
            </w:r>
          </w:p>
        </w:tc>
        <w:tc>
          <w:tcPr>
            <w:tcW w:w="2552" w:type="dxa"/>
            <w:vAlign w:val="center"/>
          </w:tcPr>
          <w:p>
            <w:pPr>
              <w:jc w:val="center"/>
              <w:rPr>
                <w:sz w:val="21"/>
                <w:szCs w:val="21"/>
              </w:rPr>
            </w:pPr>
            <w:r>
              <w:rPr>
                <w:rFonts w:hint="eastAsia"/>
                <w:sz w:val="21"/>
                <w:szCs w:val="21"/>
              </w:rPr>
              <w:t>项目数</w:t>
            </w:r>
          </w:p>
        </w:tc>
        <w:tc>
          <w:tcPr>
            <w:tcW w:w="1559" w:type="dxa"/>
            <w:vAlign w:val="center"/>
          </w:tcPr>
          <w:p>
            <w:pPr>
              <w:jc w:val="center"/>
              <w:rPr>
                <w:sz w:val="21"/>
                <w:szCs w:val="21"/>
              </w:rPr>
            </w:pPr>
            <w:r>
              <w:rPr>
                <w:rFonts w:hint="eastAsia"/>
                <w:sz w:val="21"/>
                <w:szCs w:val="21"/>
              </w:rPr>
              <w:t>经费（万元）</w:t>
            </w:r>
          </w:p>
        </w:tc>
        <w:tc>
          <w:tcPr>
            <w:tcW w:w="2347" w:type="dxa"/>
            <w:vAlign w:val="center"/>
          </w:tcPr>
          <w:p>
            <w:pPr>
              <w:jc w:val="center"/>
              <w:rPr>
                <w:sz w:val="21"/>
                <w:szCs w:val="21"/>
              </w:rPr>
            </w:pPr>
            <w:r>
              <w:rPr>
                <w:rFonts w:hint="eastAsia"/>
                <w:sz w:val="21"/>
                <w:szCs w:val="21"/>
              </w:rPr>
              <w:t>参与教师数（人次）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jc w:val="center"/>
              <w:rPr>
                <w:sz w:val="21"/>
                <w:szCs w:val="21"/>
              </w:rPr>
            </w:pPr>
            <w:r>
              <w:rPr>
                <w:rFonts w:hint="eastAsia"/>
                <w:sz w:val="21"/>
                <w:szCs w:val="22"/>
              </w:rPr>
              <w:t>国家级</w:t>
            </w:r>
          </w:p>
        </w:tc>
        <w:tc>
          <w:tcPr>
            <w:tcW w:w="2552" w:type="dxa"/>
            <w:vAlign w:val="center"/>
          </w:tcPr>
          <w:p>
            <w:pPr>
              <w:jc w:val="center"/>
              <w:rPr>
                <w:sz w:val="21"/>
                <w:szCs w:val="21"/>
              </w:rPr>
            </w:pPr>
            <w:r>
              <w:rPr>
                <w:sz w:val="21"/>
                <w:szCs w:val="21"/>
              </w:rPr>
              <w:t>0</w:t>
            </w:r>
            <w:bookmarkStart w:id="69" w:name="OLE_LINK46"/>
            <w:bookmarkEnd w:id="69"/>
          </w:p>
        </w:tc>
        <w:tc>
          <w:tcPr>
            <w:tcW w:w="1559" w:type="dxa"/>
            <w:vAlign w:val="center"/>
          </w:tcPr>
          <w:p>
            <w:pPr>
              <w:jc w:val="center"/>
              <w:rPr>
                <w:sz w:val="21"/>
                <w:szCs w:val="21"/>
              </w:rPr>
            </w:pPr>
            <w:r>
              <w:rPr>
                <w:sz w:val="21"/>
                <w:szCs w:val="21"/>
              </w:rPr>
              <w:t>0</w:t>
            </w:r>
          </w:p>
        </w:tc>
        <w:tc>
          <w:tcPr>
            <w:tcW w:w="2347"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jc w:val="center"/>
              <w:rPr>
                <w:sz w:val="21"/>
                <w:szCs w:val="21"/>
              </w:rPr>
            </w:pPr>
            <w:r>
              <w:rPr>
                <w:rFonts w:hint="eastAsia"/>
                <w:sz w:val="21"/>
                <w:szCs w:val="22"/>
              </w:rPr>
              <w:t>省部级</w:t>
            </w:r>
          </w:p>
        </w:tc>
        <w:tc>
          <w:tcPr>
            <w:tcW w:w="2552" w:type="dxa"/>
            <w:vAlign w:val="center"/>
          </w:tcPr>
          <w:p>
            <w:pPr>
              <w:jc w:val="center"/>
              <w:rPr>
                <w:color w:val="FF0000"/>
                <w:sz w:val="21"/>
                <w:szCs w:val="21"/>
              </w:rPr>
            </w:pPr>
            <w:r>
              <w:rPr>
                <w:color w:val="FF0000"/>
                <w:sz w:val="21"/>
                <w:szCs w:val="21"/>
              </w:rPr>
              <w:t>1</w:t>
            </w:r>
          </w:p>
        </w:tc>
        <w:tc>
          <w:tcPr>
            <w:tcW w:w="1559" w:type="dxa"/>
            <w:vAlign w:val="center"/>
          </w:tcPr>
          <w:p>
            <w:pPr>
              <w:jc w:val="center"/>
              <w:rPr>
                <w:color w:val="FF0000"/>
                <w:sz w:val="21"/>
                <w:szCs w:val="21"/>
              </w:rPr>
            </w:pPr>
            <w:r>
              <w:rPr>
                <w:color w:val="FF0000"/>
                <w:sz w:val="21"/>
                <w:szCs w:val="21"/>
              </w:rPr>
              <w:t>8</w:t>
            </w:r>
          </w:p>
        </w:tc>
        <w:tc>
          <w:tcPr>
            <w:tcW w:w="2347" w:type="dxa"/>
            <w:vAlign w:val="center"/>
          </w:tcPr>
          <w:p>
            <w:pPr>
              <w:jc w:val="center"/>
              <w:rPr>
                <w:color w:val="FF0000"/>
                <w:sz w:val="21"/>
                <w:szCs w:val="21"/>
              </w:rPr>
            </w:pPr>
            <w:r>
              <w:rPr>
                <w:color w:val="FF0000"/>
                <w:sz w:val="21"/>
                <w:szCs w:val="21"/>
              </w:rPr>
              <w:t>3</w:t>
            </w:r>
          </w:p>
        </w:tc>
      </w:tr>
    </w:tbl>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在教学改革方面，2023年胡茉老师主持校级产教融合教材建设项目《企业文化：直面数智时代的挑战》。</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在科研项目方面，2023年胡茉老师获批纵向课题上海市商务委员会专项项目“上海直播电商统计专项调研”。</w:t>
      </w:r>
    </w:p>
    <w:p>
      <w:pPr>
        <w:snapToGrid w:val="0"/>
        <w:jc w:val="center"/>
      </w:pPr>
      <w:r>
        <w:rPr>
          <w:rFonts w:hint="eastAsia"/>
        </w:rPr>
        <w:t>表4</w:t>
      </w:r>
      <w:r>
        <w:t>-1</w:t>
      </w:r>
      <w:r>
        <w:rPr>
          <w:rFonts w:hint="eastAsia"/>
        </w:rPr>
        <w:t>：</w:t>
      </w:r>
      <w:r>
        <w:rPr>
          <w:rFonts w:ascii="Times New Roman"/>
          <w:kern w:val="2"/>
        </w:rPr>
        <w:t>2022-2023学年本专业获各级科研项目及专利</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3029"/>
        <w:gridCol w:w="634"/>
        <w:gridCol w:w="530"/>
        <w:gridCol w:w="530"/>
        <w:gridCol w:w="1581"/>
        <w:gridCol w:w="844"/>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0" w:type="auto"/>
            <w:vAlign w:val="center"/>
          </w:tcPr>
          <w:p>
            <w:pPr>
              <w:widowControl w:val="0"/>
              <w:snapToGrid w:val="0"/>
              <w:rPr>
                <w:rFonts w:hAnsi="Calibri" w:cs="Times New Roman"/>
                <w:kern w:val="2"/>
                <w:sz w:val="21"/>
              </w:rPr>
            </w:pPr>
            <w:r>
              <w:rPr>
                <w:kern w:val="2"/>
                <w:sz w:val="21"/>
              </w:rPr>
              <w:t>序号</w:t>
            </w:r>
          </w:p>
        </w:tc>
        <w:tc>
          <w:tcPr>
            <w:tcW w:w="0" w:type="auto"/>
            <w:vAlign w:val="center"/>
          </w:tcPr>
          <w:p>
            <w:pPr>
              <w:widowControl w:val="0"/>
              <w:snapToGrid w:val="0"/>
              <w:rPr>
                <w:rFonts w:hAnsi="Calibri" w:cs="Times New Roman"/>
                <w:kern w:val="2"/>
                <w:sz w:val="21"/>
              </w:rPr>
            </w:pPr>
            <w:r>
              <w:rPr>
                <w:kern w:val="2"/>
                <w:sz w:val="21"/>
              </w:rPr>
              <w:t>项目及专利名称</w:t>
            </w:r>
          </w:p>
        </w:tc>
        <w:tc>
          <w:tcPr>
            <w:tcW w:w="0" w:type="auto"/>
            <w:vAlign w:val="center"/>
          </w:tcPr>
          <w:p>
            <w:pPr>
              <w:widowControl w:val="0"/>
              <w:snapToGrid w:val="0"/>
              <w:rPr>
                <w:rFonts w:hAnsi="Calibri" w:cs="Times New Roman"/>
                <w:kern w:val="2"/>
                <w:sz w:val="21"/>
              </w:rPr>
            </w:pPr>
            <w:r>
              <w:rPr>
                <w:kern w:val="2"/>
                <w:sz w:val="21"/>
              </w:rPr>
              <w:t>责任人</w:t>
            </w:r>
          </w:p>
        </w:tc>
        <w:tc>
          <w:tcPr>
            <w:tcW w:w="0" w:type="auto"/>
            <w:vAlign w:val="center"/>
          </w:tcPr>
          <w:p>
            <w:pPr>
              <w:widowControl w:val="0"/>
              <w:snapToGrid w:val="0"/>
              <w:rPr>
                <w:rFonts w:hAnsi="Calibri" w:cs="Times New Roman"/>
                <w:kern w:val="2"/>
                <w:sz w:val="21"/>
              </w:rPr>
            </w:pPr>
            <w:r>
              <w:rPr>
                <w:kern w:val="2"/>
                <w:sz w:val="21"/>
              </w:rPr>
              <w:t>级别</w:t>
            </w:r>
          </w:p>
        </w:tc>
        <w:tc>
          <w:tcPr>
            <w:tcW w:w="0" w:type="auto"/>
            <w:vAlign w:val="center"/>
          </w:tcPr>
          <w:p>
            <w:pPr>
              <w:widowControl w:val="0"/>
              <w:snapToGrid w:val="0"/>
              <w:rPr>
                <w:rFonts w:hAnsi="Calibri" w:cs="Times New Roman"/>
                <w:kern w:val="2"/>
                <w:sz w:val="21"/>
              </w:rPr>
            </w:pPr>
            <w:r>
              <w:rPr>
                <w:kern w:val="2"/>
                <w:sz w:val="21"/>
              </w:rPr>
              <w:t>类别</w:t>
            </w:r>
          </w:p>
        </w:tc>
        <w:tc>
          <w:tcPr>
            <w:tcW w:w="0" w:type="auto"/>
            <w:vAlign w:val="center"/>
          </w:tcPr>
          <w:p>
            <w:pPr>
              <w:widowControl w:val="0"/>
              <w:snapToGrid w:val="0"/>
              <w:rPr>
                <w:rFonts w:hAnsi="Calibri" w:cs="Times New Roman"/>
                <w:kern w:val="2"/>
                <w:sz w:val="21"/>
              </w:rPr>
            </w:pPr>
            <w:r>
              <w:rPr>
                <w:kern w:val="2"/>
                <w:sz w:val="21"/>
              </w:rPr>
              <w:t>起</w:t>
            </w:r>
            <w:r>
              <w:rPr>
                <w:color w:val="000000"/>
                <w:kern w:val="2"/>
                <w:sz w:val="21"/>
              </w:rPr>
              <w:t>讫</w:t>
            </w:r>
            <w:r>
              <w:rPr>
                <w:kern w:val="2"/>
                <w:sz w:val="21"/>
              </w:rPr>
              <w:t>时间</w:t>
            </w:r>
          </w:p>
        </w:tc>
        <w:tc>
          <w:tcPr>
            <w:tcW w:w="0" w:type="auto"/>
            <w:vAlign w:val="center"/>
          </w:tcPr>
          <w:p>
            <w:pPr>
              <w:widowControl w:val="0"/>
              <w:snapToGrid w:val="0"/>
              <w:rPr>
                <w:rFonts w:hAnsi="Calibri" w:cs="Times New Roman"/>
                <w:kern w:val="2"/>
                <w:sz w:val="21"/>
              </w:rPr>
            </w:pPr>
            <w:r>
              <w:rPr>
                <w:kern w:val="2"/>
                <w:sz w:val="21"/>
              </w:rPr>
              <w:t>上级拨款</w:t>
            </w:r>
          </w:p>
          <w:p>
            <w:pPr>
              <w:widowControl w:val="0"/>
              <w:snapToGrid w:val="0"/>
              <w:rPr>
                <w:rFonts w:hAnsi="Calibri" w:cs="Times New Roman"/>
                <w:kern w:val="2"/>
                <w:sz w:val="21"/>
              </w:rPr>
            </w:pPr>
            <w:r>
              <w:rPr>
                <w:kern w:val="2"/>
                <w:sz w:val="21"/>
              </w:rPr>
              <w:t>（万元）</w:t>
            </w:r>
          </w:p>
        </w:tc>
        <w:tc>
          <w:tcPr>
            <w:tcW w:w="0" w:type="auto"/>
            <w:vAlign w:val="center"/>
          </w:tcPr>
          <w:p>
            <w:pPr>
              <w:widowControl w:val="0"/>
              <w:snapToGrid w:val="0"/>
              <w:rPr>
                <w:rFonts w:hAnsi="Calibri" w:cs="Times New Roman"/>
                <w:kern w:val="2"/>
                <w:sz w:val="21"/>
              </w:rPr>
            </w:pPr>
            <w:r>
              <w:rPr>
                <w:kern w:val="2"/>
                <w:sz w:val="21"/>
              </w:rPr>
              <w:t>校内配套</w:t>
            </w:r>
          </w:p>
          <w:p>
            <w:pPr>
              <w:widowControl w:val="0"/>
              <w:snapToGrid w:val="0"/>
              <w:rPr>
                <w:rFonts w:hAnsi="Calibri" w:cs="Times New Roman"/>
                <w:kern w:val="2"/>
                <w:sz w:val="21"/>
              </w:rPr>
            </w:pPr>
            <w:r>
              <w:rPr>
                <w:kern w:val="2"/>
                <w:sz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val="0"/>
              <w:snapToGrid w:val="0"/>
              <w:rPr>
                <w:rFonts w:ascii="Calibri" w:hAnsi="Calibri"/>
                <w:kern w:val="2"/>
                <w:sz w:val="18"/>
                <w:szCs w:val="18"/>
              </w:rPr>
            </w:pPr>
            <w:r>
              <w:rPr>
                <w:rFonts w:ascii="Calibri" w:hAnsi="Calibri"/>
                <w:kern w:val="2"/>
                <w:sz w:val="18"/>
                <w:szCs w:val="18"/>
              </w:rPr>
              <w:t>1</w:t>
            </w:r>
          </w:p>
        </w:tc>
        <w:tc>
          <w:tcPr>
            <w:tcW w:w="0" w:type="auto"/>
            <w:vAlign w:val="center"/>
          </w:tcPr>
          <w:p>
            <w:pPr>
              <w:widowControl w:val="0"/>
              <w:autoSpaceDE w:val="0"/>
              <w:autoSpaceDN w:val="0"/>
              <w:adjustRightInd w:val="0"/>
              <w:snapToGrid w:val="0"/>
              <w:rPr>
                <w:rFonts w:ascii="Calibri" w:hAnsi="Calibri"/>
                <w:kern w:val="2"/>
                <w:sz w:val="18"/>
                <w:szCs w:val="18"/>
              </w:rPr>
            </w:pPr>
            <w:r>
              <w:rPr>
                <w:rFonts w:hint="eastAsia" w:hAnsi="Times New Roman"/>
                <w:sz w:val="21"/>
                <w:szCs w:val="21"/>
              </w:rPr>
              <w:t>上海市商务委员会专项项目：上海直播电商统计专项调研</w:t>
            </w:r>
          </w:p>
        </w:tc>
        <w:tc>
          <w:tcPr>
            <w:tcW w:w="0" w:type="auto"/>
            <w:vAlign w:val="center"/>
          </w:tcPr>
          <w:p>
            <w:pPr>
              <w:widowControl w:val="0"/>
              <w:autoSpaceDE w:val="0"/>
              <w:autoSpaceDN w:val="0"/>
              <w:adjustRightInd w:val="0"/>
              <w:snapToGrid w:val="0"/>
              <w:rPr>
                <w:rFonts w:ascii="Calibri" w:hAnsi="Calibri"/>
                <w:kern w:val="2"/>
                <w:sz w:val="18"/>
                <w:szCs w:val="18"/>
              </w:rPr>
            </w:pPr>
            <w:r>
              <w:rPr>
                <w:rFonts w:hint="eastAsia" w:hAnsi="Times New Roman"/>
                <w:sz w:val="21"/>
                <w:szCs w:val="21"/>
              </w:rPr>
              <w:t>胡茉</w:t>
            </w:r>
          </w:p>
        </w:tc>
        <w:tc>
          <w:tcPr>
            <w:tcW w:w="0" w:type="auto"/>
            <w:vAlign w:val="center"/>
          </w:tcPr>
          <w:p>
            <w:pPr>
              <w:widowControl w:val="0"/>
              <w:autoSpaceDE w:val="0"/>
              <w:autoSpaceDN w:val="0"/>
              <w:adjustRightInd w:val="0"/>
              <w:snapToGrid w:val="0"/>
              <w:rPr>
                <w:rFonts w:ascii="Calibri" w:hAnsi="Calibri"/>
                <w:kern w:val="2"/>
                <w:sz w:val="21"/>
                <w:szCs w:val="21"/>
              </w:rPr>
            </w:pPr>
            <w:r>
              <w:rPr>
                <w:rFonts w:hint="eastAsia" w:ascii="Calibri" w:hAnsi="Calibri"/>
                <w:kern w:val="2"/>
                <w:sz w:val="21"/>
                <w:szCs w:val="21"/>
              </w:rPr>
              <w:t>市级</w:t>
            </w:r>
          </w:p>
        </w:tc>
        <w:tc>
          <w:tcPr>
            <w:tcW w:w="0" w:type="auto"/>
            <w:vAlign w:val="center"/>
          </w:tcPr>
          <w:p>
            <w:pPr>
              <w:widowControl w:val="0"/>
              <w:autoSpaceDE w:val="0"/>
              <w:autoSpaceDN w:val="0"/>
              <w:adjustRightInd w:val="0"/>
              <w:snapToGrid w:val="0"/>
              <w:rPr>
                <w:rFonts w:ascii="Calibri" w:hAnsi="Calibri"/>
                <w:kern w:val="2"/>
                <w:sz w:val="18"/>
                <w:szCs w:val="18"/>
              </w:rPr>
            </w:pPr>
            <w:r>
              <w:rPr>
                <w:rFonts w:hint="eastAsia" w:hAnsi="Times New Roman"/>
                <w:sz w:val="21"/>
                <w:szCs w:val="21"/>
              </w:rPr>
              <w:t>纵向</w:t>
            </w:r>
          </w:p>
        </w:tc>
        <w:tc>
          <w:tcPr>
            <w:tcW w:w="0" w:type="auto"/>
            <w:vAlign w:val="center"/>
          </w:tcPr>
          <w:p>
            <w:pPr>
              <w:snapToGrid w:val="0"/>
              <w:textAlignment w:val="center"/>
              <w:rPr>
                <w:rFonts w:ascii="Calibri" w:hAnsi="Calibri"/>
                <w:kern w:val="2"/>
                <w:sz w:val="18"/>
                <w:szCs w:val="18"/>
              </w:rPr>
            </w:pPr>
            <w:r>
              <w:rPr>
                <w:rFonts w:hAnsi="Times New Roman"/>
                <w:sz w:val="21"/>
                <w:szCs w:val="21"/>
              </w:rPr>
              <w:t>202306-202310</w:t>
            </w:r>
          </w:p>
        </w:tc>
        <w:tc>
          <w:tcPr>
            <w:tcW w:w="0" w:type="auto"/>
            <w:vAlign w:val="center"/>
          </w:tcPr>
          <w:p>
            <w:pPr>
              <w:snapToGrid w:val="0"/>
              <w:textAlignment w:val="center"/>
              <w:rPr>
                <w:rFonts w:hAnsi="Times New Roman"/>
                <w:sz w:val="21"/>
                <w:szCs w:val="21"/>
              </w:rPr>
            </w:pPr>
            <w:r>
              <w:rPr>
                <w:rFonts w:hint="eastAsia" w:hAnsi="Times New Roman"/>
                <w:sz w:val="21"/>
                <w:szCs w:val="21"/>
              </w:rPr>
              <w:t>8</w:t>
            </w:r>
          </w:p>
        </w:tc>
        <w:tc>
          <w:tcPr>
            <w:tcW w:w="0" w:type="auto"/>
            <w:vAlign w:val="center"/>
          </w:tcPr>
          <w:p>
            <w:pPr>
              <w:widowControl w:val="0"/>
              <w:snapToGrid w:val="0"/>
              <w:rPr>
                <w:rFonts w:ascii="Times New Roman" w:hAnsi="Times New Roman" w:cs="Times New Roman"/>
                <w:sz w:val="18"/>
                <w:szCs w:val="18"/>
                <w:lang w:bidi="ar"/>
              </w:rPr>
            </w:pPr>
          </w:p>
        </w:tc>
      </w:tr>
    </w:tbl>
    <w:p/>
    <w:p>
      <w:pPr>
        <w:snapToGrid w:val="0"/>
        <w:spacing w:line="360" w:lineRule="auto"/>
        <w:ind w:firstLine="480" w:firstLineChars="200"/>
        <w:jc w:val="both"/>
        <w:rPr>
          <w:color w:val="FF0000"/>
        </w:rPr>
      </w:pPr>
      <w:r>
        <w:rPr>
          <w:rFonts w:hint="eastAsia"/>
          <w:color w:val="000000" w:themeColor="text1"/>
          <w14:textFill>
            <w14:solidFill>
              <w14:schemeClr w14:val="tx1"/>
            </w14:solidFill>
          </w14:textFill>
        </w:rPr>
        <w:t>在科研论文方面，2023年孟勇老师以第二作者在全球城市研究(中英文)期刊发表论文《论全球城市文化网络的演进趋势与运作规律》。</w:t>
      </w:r>
    </w:p>
    <w:p>
      <w:pPr>
        <w:snapToGrid w:val="0"/>
        <w:ind w:firstLine="480" w:firstLineChars="200"/>
        <w:jc w:val="center"/>
      </w:pPr>
      <w:r>
        <w:rPr>
          <w:rFonts w:hint="eastAsia"/>
        </w:rPr>
        <w:t>表4</w:t>
      </w:r>
      <w:r>
        <w:t>-2</w:t>
      </w:r>
      <w:r>
        <w:rPr>
          <w:rFonts w:hint="eastAsia"/>
        </w:rPr>
        <w:t>：</w:t>
      </w:r>
      <w:r>
        <w:t>202</w:t>
      </w:r>
      <w:r>
        <w:rPr>
          <w:rFonts w:hint="eastAsia"/>
        </w:rPr>
        <w:t>2</w:t>
      </w:r>
      <w:r>
        <w:t>-202</w:t>
      </w:r>
      <w:r>
        <w:rPr>
          <w:rFonts w:hint="eastAsia"/>
        </w:rPr>
        <w:t>3</w:t>
      </w:r>
      <w:r>
        <w:t>学年本专业发表学术论文及出版专著</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2"/>
        <w:gridCol w:w="3131"/>
        <w:gridCol w:w="1725"/>
        <w:gridCol w:w="735"/>
        <w:gridCol w:w="476"/>
        <w:gridCol w:w="1451"/>
        <w:gridCol w:w="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82" w:hRule="atLeast"/>
          <w:jc w:val="center"/>
        </w:trPr>
        <w:tc>
          <w:tcPr>
            <w:tcW w:w="0" w:type="auto"/>
            <w:vAlign w:val="center"/>
          </w:tcPr>
          <w:p>
            <w:pPr>
              <w:widowControl w:val="0"/>
              <w:jc w:val="center"/>
              <w:rPr>
                <w:rFonts w:hAnsi="Calibri"/>
                <w:kern w:val="2"/>
                <w:sz w:val="21"/>
              </w:rPr>
            </w:pPr>
            <w:r>
              <w:rPr>
                <w:kern w:val="2"/>
                <w:sz w:val="21"/>
              </w:rPr>
              <w:t>序号</w:t>
            </w:r>
          </w:p>
        </w:tc>
        <w:tc>
          <w:tcPr>
            <w:tcW w:w="0" w:type="auto"/>
            <w:vAlign w:val="center"/>
          </w:tcPr>
          <w:p>
            <w:pPr>
              <w:widowControl w:val="0"/>
              <w:jc w:val="center"/>
              <w:rPr>
                <w:rFonts w:hAnsi="Calibri"/>
                <w:kern w:val="2"/>
                <w:sz w:val="21"/>
              </w:rPr>
            </w:pPr>
            <w:r>
              <w:rPr>
                <w:kern w:val="2"/>
                <w:sz w:val="21"/>
              </w:rPr>
              <w:t>论文、专著名称</w:t>
            </w:r>
          </w:p>
        </w:tc>
        <w:tc>
          <w:tcPr>
            <w:tcW w:w="0" w:type="auto"/>
            <w:vAlign w:val="center"/>
          </w:tcPr>
          <w:p>
            <w:pPr>
              <w:widowControl w:val="0"/>
              <w:jc w:val="center"/>
              <w:rPr>
                <w:rFonts w:hAnsi="Calibri"/>
                <w:kern w:val="2"/>
                <w:sz w:val="21"/>
              </w:rPr>
            </w:pPr>
            <w:r>
              <w:rPr>
                <w:kern w:val="2"/>
                <w:sz w:val="21"/>
              </w:rPr>
              <w:t>发表刊物、出版社名称</w:t>
            </w:r>
          </w:p>
        </w:tc>
        <w:tc>
          <w:tcPr>
            <w:tcW w:w="0" w:type="auto"/>
            <w:vAlign w:val="center"/>
          </w:tcPr>
          <w:p>
            <w:pPr>
              <w:widowControl w:val="0"/>
              <w:jc w:val="center"/>
              <w:rPr>
                <w:rFonts w:hAnsi="Calibri"/>
                <w:kern w:val="2"/>
                <w:sz w:val="21"/>
              </w:rPr>
            </w:pPr>
            <w:r>
              <w:rPr>
                <w:kern w:val="2"/>
                <w:sz w:val="21"/>
              </w:rPr>
              <w:t>是否</w:t>
            </w:r>
          </w:p>
          <w:p>
            <w:pPr>
              <w:widowControl w:val="0"/>
              <w:jc w:val="center"/>
              <w:rPr>
                <w:rFonts w:hAnsi="Calibri"/>
                <w:kern w:val="2"/>
                <w:sz w:val="21"/>
              </w:rPr>
            </w:pPr>
            <w:r>
              <w:rPr>
                <w:kern w:val="2"/>
                <w:sz w:val="21"/>
              </w:rPr>
              <w:t>核心期刊</w:t>
            </w:r>
          </w:p>
        </w:tc>
        <w:tc>
          <w:tcPr>
            <w:tcW w:w="0" w:type="auto"/>
            <w:vAlign w:val="center"/>
          </w:tcPr>
          <w:p>
            <w:pPr>
              <w:widowControl w:val="0"/>
              <w:jc w:val="center"/>
              <w:rPr>
                <w:rFonts w:hAnsi="Calibri"/>
                <w:kern w:val="2"/>
                <w:sz w:val="21"/>
              </w:rPr>
            </w:pPr>
            <w:r>
              <w:rPr>
                <w:kern w:val="2"/>
                <w:sz w:val="21"/>
              </w:rPr>
              <w:t>时间</w:t>
            </w:r>
          </w:p>
        </w:tc>
        <w:tc>
          <w:tcPr>
            <w:tcW w:w="0" w:type="auto"/>
            <w:vAlign w:val="center"/>
          </w:tcPr>
          <w:p>
            <w:pPr>
              <w:widowControl w:val="0"/>
              <w:jc w:val="center"/>
              <w:rPr>
                <w:rFonts w:hAnsi="Calibri"/>
                <w:kern w:val="2"/>
                <w:sz w:val="21"/>
              </w:rPr>
            </w:pPr>
            <w:r>
              <w:rPr>
                <w:kern w:val="2"/>
                <w:sz w:val="21"/>
              </w:rPr>
              <w:t>作者姓名</w:t>
            </w:r>
          </w:p>
        </w:tc>
        <w:tc>
          <w:tcPr>
            <w:tcW w:w="0" w:type="auto"/>
            <w:vAlign w:val="center"/>
          </w:tcPr>
          <w:p>
            <w:pPr>
              <w:widowControl w:val="0"/>
              <w:jc w:val="center"/>
              <w:rPr>
                <w:rFonts w:hAnsi="Calibri"/>
                <w:kern w:val="2"/>
                <w:sz w:val="21"/>
              </w:rPr>
            </w:pPr>
            <w:r>
              <w:rPr>
                <w:kern w:val="2"/>
                <w:sz w:val="21"/>
              </w:rPr>
              <w:t>第几</w:t>
            </w:r>
          </w:p>
          <w:p>
            <w:pPr>
              <w:widowControl w:val="0"/>
              <w:jc w:val="center"/>
              <w:rPr>
                <w:rFonts w:hAnsi="Calibri"/>
                <w:kern w:val="2"/>
                <w:sz w:val="21"/>
              </w:rPr>
            </w:pPr>
            <w:r>
              <w:rPr>
                <w:kern w:val="2"/>
                <w:sz w:val="21"/>
              </w:rPr>
              <w:t>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82" w:hRule="atLeast"/>
          <w:jc w:val="center"/>
        </w:trPr>
        <w:tc>
          <w:tcPr>
            <w:tcW w:w="0" w:type="auto"/>
            <w:vAlign w:val="center"/>
          </w:tcPr>
          <w:p>
            <w:pPr>
              <w:widowControl w:val="0"/>
              <w:jc w:val="center"/>
              <w:rPr>
                <w:rFonts w:ascii="Times New Roman" w:hAnsi="Times New Roman" w:cs="Times New Roman"/>
                <w:color w:val="000000"/>
                <w:kern w:val="2"/>
                <w:sz w:val="21"/>
                <w:szCs w:val="22"/>
              </w:rPr>
            </w:pPr>
            <w:r>
              <w:rPr>
                <w:rFonts w:ascii="Times New Roman" w:hAnsi="Times New Roman" w:cs="Times New Roman"/>
                <w:color w:val="000000"/>
                <w:kern w:val="2"/>
                <w:sz w:val="21"/>
                <w:szCs w:val="22"/>
              </w:rPr>
              <w:t>1</w:t>
            </w:r>
          </w:p>
        </w:tc>
        <w:tc>
          <w:tcPr>
            <w:tcW w:w="0" w:type="auto"/>
            <w:vAlign w:val="center"/>
          </w:tcPr>
          <w:p>
            <w:pPr>
              <w:textAlignment w:val="center"/>
              <w:rPr>
                <w:rFonts w:ascii="Times New Roman" w:hAnsi="Times New Roman" w:cs="Times New Roman"/>
                <w:color w:val="000000"/>
                <w:kern w:val="2"/>
                <w:sz w:val="21"/>
                <w:szCs w:val="22"/>
              </w:rPr>
            </w:pPr>
            <w:r>
              <w:rPr>
                <w:rFonts w:ascii="Times New Roman" w:hAnsi="Times New Roman" w:cs="Times New Roman"/>
                <w:color w:val="000000"/>
                <w:kern w:val="2"/>
                <w:sz w:val="21"/>
                <w:szCs w:val="22"/>
              </w:rPr>
              <w:t>论全球城市文化网络的演进趋势与运作规律</w:t>
            </w:r>
          </w:p>
        </w:tc>
        <w:tc>
          <w:tcPr>
            <w:tcW w:w="0" w:type="auto"/>
            <w:vAlign w:val="center"/>
          </w:tcPr>
          <w:p>
            <w:pPr>
              <w:jc w:val="center"/>
              <w:textAlignment w:val="center"/>
              <w:rPr>
                <w:rFonts w:ascii="Times New Roman" w:hAnsi="Times New Roman" w:cs="Times New Roman"/>
                <w:color w:val="000000"/>
                <w:kern w:val="2"/>
                <w:sz w:val="21"/>
                <w:szCs w:val="22"/>
              </w:rPr>
            </w:pPr>
            <w:r>
              <w:rPr>
                <w:rFonts w:ascii="Times New Roman" w:hAnsi="Times New Roman" w:cs="Times New Roman"/>
                <w:color w:val="000000"/>
                <w:kern w:val="2"/>
                <w:sz w:val="21"/>
                <w:szCs w:val="22"/>
              </w:rPr>
              <w:t>全球城市研究(中英文)</w:t>
            </w:r>
          </w:p>
        </w:tc>
        <w:tc>
          <w:tcPr>
            <w:tcW w:w="0" w:type="auto"/>
            <w:vAlign w:val="center"/>
          </w:tcPr>
          <w:p>
            <w:pPr>
              <w:jc w:val="center"/>
              <w:textAlignment w:val="center"/>
              <w:rPr>
                <w:rFonts w:ascii="Times New Roman" w:hAnsi="Times New Roman" w:cs="Times New Roman"/>
                <w:color w:val="000000"/>
                <w:kern w:val="2"/>
                <w:sz w:val="21"/>
                <w:szCs w:val="22"/>
              </w:rPr>
            </w:pPr>
            <w:r>
              <w:rPr>
                <w:rFonts w:hint="eastAsia" w:ascii="Times New Roman" w:hAnsi="Times New Roman" w:cs="Times New Roman"/>
                <w:color w:val="000000"/>
                <w:kern w:val="2"/>
                <w:sz w:val="21"/>
                <w:szCs w:val="22"/>
              </w:rPr>
              <w:t>否</w:t>
            </w:r>
          </w:p>
        </w:tc>
        <w:tc>
          <w:tcPr>
            <w:tcW w:w="0" w:type="auto"/>
            <w:vAlign w:val="center"/>
          </w:tcPr>
          <w:p>
            <w:pPr>
              <w:jc w:val="center"/>
              <w:textAlignment w:val="center"/>
              <w:rPr>
                <w:rFonts w:ascii="Times New Roman" w:hAnsi="Times New Roman" w:cs="Times New Roman"/>
                <w:color w:val="000000"/>
                <w:kern w:val="2"/>
                <w:sz w:val="21"/>
                <w:szCs w:val="22"/>
              </w:rPr>
            </w:pPr>
            <w:r>
              <w:rPr>
                <w:rFonts w:ascii="Times New Roman" w:hAnsi="Times New Roman" w:cs="Times New Roman"/>
                <w:color w:val="000000"/>
                <w:kern w:val="2"/>
                <w:sz w:val="21"/>
                <w:szCs w:val="22"/>
              </w:rPr>
              <w:t>2023</w:t>
            </w:r>
          </w:p>
        </w:tc>
        <w:tc>
          <w:tcPr>
            <w:tcW w:w="0" w:type="auto"/>
            <w:vAlign w:val="center"/>
          </w:tcPr>
          <w:p>
            <w:pPr>
              <w:jc w:val="center"/>
              <w:textAlignment w:val="center"/>
              <w:rPr>
                <w:rFonts w:ascii="Times New Roman" w:hAnsi="Times New Roman" w:cs="Times New Roman"/>
                <w:color w:val="000000"/>
                <w:kern w:val="2"/>
                <w:sz w:val="21"/>
                <w:szCs w:val="22"/>
              </w:rPr>
            </w:pPr>
            <w:r>
              <w:rPr>
                <w:rFonts w:ascii="Times New Roman" w:hAnsi="Times New Roman" w:cs="Times New Roman"/>
                <w:color w:val="000000"/>
                <w:kern w:val="2"/>
                <w:sz w:val="21"/>
                <w:szCs w:val="22"/>
              </w:rPr>
              <w:t>秦迎林,孟勇,朱强等</w:t>
            </w:r>
          </w:p>
        </w:tc>
        <w:tc>
          <w:tcPr>
            <w:tcW w:w="0" w:type="auto"/>
            <w:vAlign w:val="center"/>
          </w:tcPr>
          <w:p>
            <w:pPr>
              <w:jc w:val="center"/>
              <w:textAlignment w:val="center"/>
              <w:rPr>
                <w:rFonts w:ascii="Times New Roman" w:hAnsi="Times New Roman" w:cs="Times New Roman"/>
                <w:color w:val="000000"/>
                <w:kern w:val="2"/>
                <w:sz w:val="21"/>
                <w:szCs w:val="22"/>
              </w:rPr>
            </w:pPr>
            <w:r>
              <w:rPr>
                <w:rFonts w:ascii="Times New Roman" w:hAnsi="Times New Roman" w:cs="Times New Roman"/>
                <w:color w:val="000000"/>
                <w:kern w:val="2"/>
                <w:sz w:val="21"/>
                <w:szCs w:val="22"/>
              </w:rPr>
              <w:t>2</w:t>
            </w:r>
          </w:p>
        </w:tc>
      </w:tr>
    </w:tbl>
    <w:p>
      <w:pPr>
        <w:snapToGrid w:val="0"/>
      </w:pPr>
    </w:p>
    <w:p>
      <w:pPr>
        <w:pStyle w:val="5"/>
        <w:rPr>
          <w:rFonts w:ascii="宋体" w:hAnsi="宋体" w:eastAsia="宋体" w:cstheme="minorBidi"/>
          <w:b w:val="0"/>
          <w:bCs w:val="0"/>
          <w:kern w:val="2"/>
          <w:sz w:val="24"/>
          <w:szCs w:val="24"/>
        </w:rPr>
      </w:pPr>
      <w:r>
        <w:rPr>
          <w:rFonts w:ascii="宋体" w:hAnsi="宋体" w:eastAsia="宋体" w:cstheme="minorBidi"/>
          <w:b w:val="0"/>
          <w:bCs w:val="0"/>
          <w:kern w:val="2"/>
          <w:sz w:val="24"/>
          <w:szCs w:val="24"/>
        </w:rPr>
        <w:t>4.3.2教师主编本专业教材情况</w:t>
      </w:r>
    </w:p>
    <w:p>
      <w:pPr>
        <w:rPr>
          <w:rFonts w:hint="default" w:eastAsia="宋体"/>
          <w:lang w:val="en-US" w:eastAsia="zh-CN"/>
        </w:rPr>
      </w:pPr>
      <w:r>
        <w:rPr>
          <w:rFonts w:hint="eastAsia"/>
          <w:lang w:val="en-US" w:eastAsia="zh-CN"/>
        </w:rPr>
        <w:t>暂无教师主编专业教材。</w:t>
      </w:r>
    </w:p>
    <w:p>
      <w:pPr>
        <w:pStyle w:val="3"/>
        <w:pageBreakBefore/>
        <w:spacing w:after="120" w:line="415" w:lineRule="auto"/>
        <w:jc w:val="left"/>
        <w:rPr>
          <w:rFonts w:ascii="宋体" w:hAnsi="宋体"/>
          <w:sz w:val="28"/>
          <w:szCs w:val="28"/>
        </w:rPr>
      </w:pPr>
      <w:bookmarkStart w:id="70" w:name="_Toc155617893"/>
      <w:r>
        <w:rPr>
          <w:rFonts w:ascii="宋体" w:hAnsi="宋体"/>
          <w:sz w:val="28"/>
          <w:szCs w:val="28"/>
        </w:rPr>
        <w:t>5.支持条件</w:t>
      </w:r>
      <w:bookmarkEnd w:id="70"/>
      <w:r>
        <w:rPr>
          <w:rFonts w:ascii="宋体" w:hAnsi="宋体"/>
          <w:sz w:val="28"/>
          <w:szCs w:val="28"/>
        </w:rPr>
        <w:t xml:space="preserve"> </w:t>
      </w:r>
    </w:p>
    <w:p>
      <w:pPr>
        <w:pStyle w:val="4"/>
        <w:rPr>
          <w:rFonts w:ascii="宋体" w:hAnsi="宋体" w:eastAsia="宋体"/>
          <w:b w:val="0"/>
          <w:bCs w:val="0"/>
          <w:sz w:val="24"/>
          <w:szCs w:val="24"/>
        </w:rPr>
      </w:pPr>
      <w:bookmarkStart w:id="71" w:name="_Toc155617894"/>
      <w:r>
        <w:rPr>
          <w:rFonts w:ascii="宋体" w:hAnsi="宋体" w:eastAsia="宋体"/>
          <w:b w:val="0"/>
          <w:bCs w:val="0"/>
          <w:sz w:val="24"/>
          <w:szCs w:val="24"/>
        </w:rPr>
        <w:t>5.1学校生均教学经费情况</w:t>
      </w:r>
      <w:bookmarkEnd w:id="7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5"/>
        <w:gridCol w:w="4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sz w:val="21"/>
                <w:szCs w:val="21"/>
              </w:rPr>
            </w:pPr>
            <w:r>
              <w:rPr>
                <w:rFonts w:hint="eastAsia"/>
                <w:sz w:val="21"/>
                <w:szCs w:val="21"/>
              </w:rPr>
              <w:t>项目</w:t>
            </w:r>
          </w:p>
        </w:tc>
        <w:tc>
          <w:tcPr>
            <w:tcW w:w="4731" w:type="dxa"/>
            <w:vAlign w:val="center"/>
          </w:tcPr>
          <w:p>
            <w:pPr>
              <w:jc w:val="center"/>
              <w:rPr>
                <w:sz w:val="21"/>
                <w:szCs w:val="21"/>
              </w:rPr>
            </w:pPr>
            <w:r>
              <w:rPr>
                <w:sz w:val="21"/>
                <w:szCs w:val="21"/>
              </w:rPr>
              <w:t>经费（元）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sz w:val="21"/>
                <w:szCs w:val="21"/>
              </w:rPr>
            </w:pPr>
            <w:r>
              <w:rPr>
                <w:rFonts w:hint="eastAsia"/>
                <w:sz w:val="21"/>
                <w:szCs w:val="21"/>
              </w:rPr>
              <w:t>生均教学日常运行支出</w:t>
            </w:r>
          </w:p>
        </w:tc>
        <w:tc>
          <w:tcPr>
            <w:tcW w:w="4731" w:type="dxa"/>
            <w:vAlign w:val="center"/>
          </w:tcPr>
          <w:p>
            <w:pPr>
              <w:jc w:val="center"/>
              <w:rPr>
                <w:sz w:val="21"/>
                <w:szCs w:val="21"/>
              </w:rPr>
            </w:pPr>
            <w:r>
              <w:rPr>
                <w:sz w:val="21"/>
                <w:szCs w:val="21"/>
              </w:rPr>
              <w:t>5068.5</w:t>
            </w:r>
            <w:bookmarkStart w:id="72" w:name="OLE_LINK47"/>
            <w:bookmarkEnd w:id="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sz w:val="21"/>
                <w:szCs w:val="21"/>
              </w:rPr>
            </w:pPr>
            <w:r>
              <w:rPr>
                <w:rFonts w:hint="eastAsia"/>
                <w:sz w:val="21"/>
                <w:szCs w:val="21"/>
              </w:rPr>
              <w:t>生均实验经费支出</w:t>
            </w:r>
          </w:p>
        </w:tc>
        <w:tc>
          <w:tcPr>
            <w:tcW w:w="4731" w:type="dxa"/>
            <w:vAlign w:val="center"/>
          </w:tcPr>
          <w:p>
            <w:pPr>
              <w:jc w:val="center"/>
              <w:rPr>
                <w:sz w:val="21"/>
                <w:szCs w:val="21"/>
              </w:rPr>
            </w:pPr>
            <w:r>
              <w:rPr>
                <w:sz w:val="21"/>
                <w:szCs w:val="21"/>
              </w:rPr>
              <w:t>1017.74</w:t>
            </w:r>
            <w:bookmarkStart w:id="73" w:name="OLE_LINK48"/>
            <w:bookmarkEnd w:id="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sz w:val="21"/>
                <w:szCs w:val="21"/>
              </w:rPr>
            </w:pPr>
            <w:r>
              <w:rPr>
                <w:rFonts w:hint="eastAsia"/>
                <w:sz w:val="21"/>
                <w:szCs w:val="21"/>
              </w:rPr>
              <w:t>生均实习经费支出</w:t>
            </w:r>
          </w:p>
        </w:tc>
        <w:tc>
          <w:tcPr>
            <w:tcW w:w="4731" w:type="dxa"/>
            <w:vAlign w:val="center"/>
          </w:tcPr>
          <w:p>
            <w:pPr>
              <w:jc w:val="center"/>
              <w:rPr>
                <w:sz w:val="21"/>
                <w:szCs w:val="21"/>
              </w:rPr>
            </w:pPr>
            <w:r>
              <w:rPr>
                <w:sz w:val="21"/>
                <w:szCs w:val="21"/>
              </w:rPr>
              <w:t>410.89</w:t>
            </w:r>
          </w:p>
        </w:tc>
      </w:tr>
    </w:tbl>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2023年生均日常教学经费、实习经费等比2022年有所提升。</w:t>
      </w:r>
    </w:p>
    <w:p>
      <w:pPr>
        <w:pStyle w:val="4"/>
        <w:rPr>
          <w:rFonts w:ascii="宋体" w:hAnsi="宋体" w:eastAsia="宋体"/>
          <w:b w:val="0"/>
          <w:bCs w:val="0"/>
          <w:sz w:val="24"/>
          <w:szCs w:val="24"/>
        </w:rPr>
      </w:pPr>
      <w:bookmarkStart w:id="74" w:name="_Toc155617895"/>
      <w:r>
        <w:rPr>
          <w:rFonts w:ascii="宋体" w:hAnsi="宋体" w:eastAsia="宋体"/>
          <w:b w:val="0"/>
          <w:bCs w:val="0"/>
          <w:sz w:val="24"/>
          <w:szCs w:val="24"/>
        </w:rPr>
        <w:t>5.2支撑专业实验教学校内场所情况</w:t>
      </w:r>
      <w:bookmarkEnd w:id="74"/>
    </w:p>
    <w:p>
      <w:pPr>
        <w:snapToGrid w:val="0"/>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专业实验室建设与开放利用情况。</w:t>
      </w:r>
      <w:r>
        <w:rPr>
          <w:rFonts w:hint="eastAsia"/>
          <w:color w:val="000000" w:themeColor="text1"/>
          <w14:textFill>
            <w14:solidFill>
              <w14:schemeClr w14:val="tx1"/>
            </w14:solidFill>
          </w14:textFill>
        </w:rPr>
        <w:t>目前学院共有实验室</w:t>
      </w:r>
      <w:r>
        <w:rPr>
          <w:color w:val="000000" w:themeColor="text1"/>
          <w14:textFill>
            <w14:solidFill>
              <w14:schemeClr w14:val="tx1"/>
            </w14:solidFill>
          </w14:textFill>
        </w:rPr>
        <w:t>10个，其中与专业相关主要实验室</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个，总面积</w:t>
      </w:r>
      <w:r>
        <w:rPr>
          <w:rFonts w:hint="eastAsia"/>
          <w:color w:val="000000" w:themeColor="text1"/>
          <w14:textFill>
            <w14:solidFill>
              <w14:schemeClr w14:val="tx1"/>
            </w14:solidFill>
          </w14:textFill>
        </w:rPr>
        <w:t>161.88</w:t>
      </w:r>
      <w:r>
        <w:rPr>
          <w:color w:val="000000" w:themeColor="text1"/>
          <w14:textFill>
            <w14:solidFill>
              <w14:schemeClr w14:val="tx1"/>
            </w14:solidFill>
          </w14:textFill>
        </w:rPr>
        <w:t>平方米；兼职实验管理人员共2人，保证实验教学达到教学要求。目前，专业所有主干课程均设置了相应课时的实验、实践环节。独立设置的实验课程与理论课程实验部分的开出率超过大纲要求90%。</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229"/>
        <w:gridCol w:w="1782"/>
        <w:gridCol w:w="1229"/>
        <w:gridCol w:w="1505"/>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sz w:val="21"/>
                <w:szCs w:val="21"/>
              </w:rPr>
            </w:pPr>
            <w:r>
              <w:rPr>
                <w:rFonts w:hint="eastAsia"/>
                <w:sz w:val="21"/>
                <w:szCs w:val="21"/>
              </w:rPr>
              <w:t>项目</w:t>
            </w:r>
          </w:p>
        </w:tc>
        <w:tc>
          <w:tcPr>
            <w:tcW w:w="1229" w:type="dxa"/>
            <w:vAlign w:val="center"/>
          </w:tcPr>
          <w:p>
            <w:pPr>
              <w:jc w:val="center"/>
              <w:rPr>
                <w:sz w:val="21"/>
                <w:szCs w:val="21"/>
              </w:rPr>
            </w:pPr>
            <w:r>
              <w:rPr>
                <w:rFonts w:hint="eastAsia"/>
                <w:sz w:val="21"/>
                <w:szCs w:val="21"/>
              </w:rPr>
              <w:t>数量</w:t>
            </w:r>
          </w:p>
        </w:tc>
        <w:tc>
          <w:tcPr>
            <w:tcW w:w="1782" w:type="dxa"/>
            <w:vAlign w:val="center"/>
          </w:tcPr>
          <w:p>
            <w:pPr>
              <w:jc w:val="center"/>
              <w:rPr>
                <w:sz w:val="21"/>
                <w:szCs w:val="21"/>
              </w:rPr>
            </w:pPr>
            <w:r>
              <w:rPr>
                <w:rFonts w:hint="eastAsia"/>
                <w:sz w:val="21"/>
                <w:szCs w:val="21"/>
              </w:rPr>
              <w:t>承担实验课程门数</w:t>
            </w:r>
          </w:p>
        </w:tc>
        <w:tc>
          <w:tcPr>
            <w:tcW w:w="1229" w:type="dxa"/>
            <w:vAlign w:val="center"/>
          </w:tcPr>
          <w:p>
            <w:pPr>
              <w:jc w:val="center"/>
              <w:rPr>
                <w:sz w:val="21"/>
                <w:szCs w:val="21"/>
              </w:rPr>
            </w:pPr>
            <w:r>
              <w:rPr>
                <w:rFonts w:hint="eastAsia"/>
                <w:sz w:val="21"/>
                <w:szCs w:val="21"/>
              </w:rPr>
              <w:t>面积（平方米）</w:t>
            </w:r>
          </w:p>
        </w:tc>
        <w:tc>
          <w:tcPr>
            <w:tcW w:w="1505" w:type="dxa"/>
            <w:vAlign w:val="center"/>
          </w:tcPr>
          <w:p>
            <w:pPr>
              <w:jc w:val="center"/>
              <w:rPr>
                <w:sz w:val="21"/>
                <w:szCs w:val="21"/>
              </w:rPr>
            </w:pPr>
            <w:r>
              <w:rPr>
                <w:rFonts w:hint="eastAsia"/>
                <w:sz w:val="21"/>
                <w:szCs w:val="21"/>
              </w:rPr>
              <w:t>设备台套数</w:t>
            </w:r>
          </w:p>
        </w:tc>
        <w:tc>
          <w:tcPr>
            <w:tcW w:w="1321" w:type="dxa"/>
            <w:vAlign w:val="center"/>
          </w:tcPr>
          <w:p>
            <w:pPr>
              <w:jc w:val="center"/>
              <w:rPr>
                <w:sz w:val="21"/>
                <w:szCs w:val="21"/>
              </w:rPr>
            </w:pPr>
            <w:r>
              <w:rPr>
                <w:rFonts w:hint="eastAsia"/>
                <w:sz w:val="21"/>
                <w:szCs w:val="21"/>
              </w:rPr>
              <w:t>设备值（万元）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sz w:val="20"/>
                <w:szCs w:val="20"/>
              </w:rPr>
            </w:pPr>
            <w:r>
              <w:rPr>
                <w:sz w:val="20"/>
                <w:szCs w:val="20"/>
              </w:rPr>
              <w:t>专业实验室</w:t>
            </w:r>
          </w:p>
        </w:tc>
        <w:tc>
          <w:tcPr>
            <w:tcW w:w="1229" w:type="dxa"/>
            <w:vAlign w:val="center"/>
          </w:tcPr>
          <w:p>
            <w:pPr>
              <w:jc w:val="center"/>
              <w:rPr>
                <w:sz w:val="20"/>
                <w:szCs w:val="20"/>
              </w:rPr>
            </w:pPr>
            <w:r>
              <w:rPr>
                <w:sz w:val="20"/>
                <w:szCs w:val="20"/>
              </w:rPr>
              <w:t>0</w:t>
            </w:r>
            <w:bookmarkStart w:id="75" w:name="OLE_LINK49"/>
            <w:bookmarkEnd w:id="75"/>
          </w:p>
        </w:tc>
        <w:tc>
          <w:tcPr>
            <w:tcW w:w="1782" w:type="dxa"/>
            <w:vAlign w:val="center"/>
          </w:tcPr>
          <w:p>
            <w:pPr>
              <w:jc w:val="center"/>
              <w:rPr>
                <w:sz w:val="20"/>
                <w:szCs w:val="20"/>
              </w:rPr>
            </w:pPr>
            <w:r>
              <w:rPr>
                <w:sz w:val="20"/>
                <w:szCs w:val="20"/>
              </w:rPr>
              <w:t>0</w:t>
            </w:r>
          </w:p>
        </w:tc>
        <w:tc>
          <w:tcPr>
            <w:tcW w:w="1229" w:type="dxa"/>
            <w:vAlign w:val="center"/>
          </w:tcPr>
          <w:p>
            <w:pPr>
              <w:jc w:val="center"/>
              <w:rPr>
                <w:sz w:val="20"/>
                <w:szCs w:val="20"/>
              </w:rPr>
            </w:pPr>
            <w:r>
              <w:rPr>
                <w:sz w:val="20"/>
                <w:szCs w:val="20"/>
              </w:rPr>
              <w:t>0</w:t>
            </w:r>
          </w:p>
        </w:tc>
        <w:tc>
          <w:tcPr>
            <w:tcW w:w="1505" w:type="dxa"/>
            <w:vAlign w:val="center"/>
          </w:tcPr>
          <w:p>
            <w:pPr>
              <w:jc w:val="center"/>
              <w:rPr>
                <w:sz w:val="20"/>
                <w:szCs w:val="20"/>
              </w:rPr>
            </w:pPr>
            <w:r>
              <w:rPr>
                <w:sz w:val="20"/>
                <w:szCs w:val="20"/>
              </w:rPr>
              <w:t>0</w:t>
            </w:r>
          </w:p>
        </w:tc>
        <w:tc>
          <w:tcPr>
            <w:tcW w:w="1321"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sz w:val="20"/>
                <w:szCs w:val="20"/>
              </w:rPr>
            </w:pPr>
            <w:r>
              <w:rPr>
                <w:sz w:val="20"/>
              </w:rPr>
              <w:t>基础实验室</w:t>
            </w:r>
          </w:p>
        </w:tc>
        <w:tc>
          <w:tcPr>
            <w:tcW w:w="1229" w:type="dxa"/>
            <w:vAlign w:val="center"/>
          </w:tcPr>
          <w:p>
            <w:pPr>
              <w:jc w:val="center"/>
              <w:rPr>
                <w:sz w:val="20"/>
                <w:szCs w:val="20"/>
              </w:rPr>
            </w:pPr>
            <w:r>
              <w:rPr>
                <w:sz w:val="20"/>
              </w:rPr>
              <w:t>1</w:t>
            </w:r>
          </w:p>
        </w:tc>
        <w:tc>
          <w:tcPr>
            <w:tcW w:w="1782" w:type="dxa"/>
            <w:vAlign w:val="center"/>
          </w:tcPr>
          <w:p>
            <w:pPr>
              <w:jc w:val="center"/>
              <w:rPr>
                <w:sz w:val="20"/>
                <w:szCs w:val="20"/>
              </w:rPr>
            </w:pPr>
            <w:r>
              <w:rPr>
                <w:sz w:val="20"/>
              </w:rPr>
              <w:t>1</w:t>
            </w:r>
          </w:p>
        </w:tc>
        <w:tc>
          <w:tcPr>
            <w:tcW w:w="1229" w:type="dxa"/>
            <w:vAlign w:val="center"/>
          </w:tcPr>
          <w:p>
            <w:pPr>
              <w:jc w:val="center"/>
              <w:rPr>
                <w:sz w:val="20"/>
                <w:szCs w:val="20"/>
              </w:rPr>
            </w:pPr>
            <w:r>
              <w:rPr>
                <w:sz w:val="20"/>
              </w:rPr>
              <w:t>161.88</w:t>
            </w:r>
          </w:p>
        </w:tc>
        <w:tc>
          <w:tcPr>
            <w:tcW w:w="1505" w:type="dxa"/>
            <w:vAlign w:val="center"/>
          </w:tcPr>
          <w:p>
            <w:pPr>
              <w:jc w:val="center"/>
              <w:rPr>
                <w:sz w:val="20"/>
                <w:szCs w:val="20"/>
              </w:rPr>
            </w:pPr>
            <w:r>
              <w:rPr>
                <w:sz w:val="20"/>
              </w:rPr>
              <w:t>0</w:t>
            </w:r>
          </w:p>
        </w:tc>
        <w:tc>
          <w:tcPr>
            <w:tcW w:w="1321" w:type="dxa"/>
            <w:vAlign w:val="center"/>
          </w:tcPr>
          <w:p>
            <w:pPr>
              <w:jc w:val="center"/>
              <w:rPr>
                <w:sz w:val="20"/>
                <w:szCs w:val="20"/>
              </w:rPr>
            </w:pPr>
            <w:r>
              <w:rPr>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sz w:val="20"/>
                <w:szCs w:val="20"/>
              </w:rPr>
            </w:pPr>
            <w:r>
              <w:rPr>
                <w:sz w:val="20"/>
              </w:rPr>
              <w:t>实习场所</w:t>
            </w:r>
          </w:p>
        </w:tc>
        <w:tc>
          <w:tcPr>
            <w:tcW w:w="1229" w:type="dxa"/>
            <w:vAlign w:val="center"/>
          </w:tcPr>
          <w:p>
            <w:pPr>
              <w:jc w:val="center"/>
              <w:rPr>
                <w:sz w:val="20"/>
                <w:szCs w:val="20"/>
              </w:rPr>
            </w:pPr>
            <w:r>
              <w:rPr>
                <w:sz w:val="20"/>
              </w:rPr>
              <w:t>0</w:t>
            </w:r>
          </w:p>
        </w:tc>
        <w:tc>
          <w:tcPr>
            <w:tcW w:w="1782" w:type="dxa"/>
            <w:vAlign w:val="center"/>
          </w:tcPr>
          <w:p>
            <w:pPr>
              <w:jc w:val="center"/>
              <w:rPr>
                <w:sz w:val="20"/>
                <w:szCs w:val="20"/>
              </w:rPr>
            </w:pPr>
            <w:r>
              <w:rPr>
                <w:sz w:val="20"/>
              </w:rPr>
              <w:t>0</w:t>
            </w:r>
          </w:p>
        </w:tc>
        <w:tc>
          <w:tcPr>
            <w:tcW w:w="1229" w:type="dxa"/>
            <w:vAlign w:val="center"/>
          </w:tcPr>
          <w:p>
            <w:pPr>
              <w:jc w:val="center"/>
              <w:rPr>
                <w:sz w:val="20"/>
                <w:szCs w:val="20"/>
              </w:rPr>
            </w:pPr>
            <w:r>
              <w:rPr>
                <w:sz w:val="20"/>
              </w:rPr>
              <w:t>0</w:t>
            </w:r>
          </w:p>
        </w:tc>
        <w:tc>
          <w:tcPr>
            <w:tcW w:w="1505" w:type="dxa"/>
            <w:vAlign w:val="center"/>
          </w:tcPr>
          <w:p>
            <w:pPr>
              <w:jc w:val="center"/>
              <w:rPr>
                <w:sz w:val="20"/>
                <w:szCs w:val="20"/>
              </w:rPr>
            </w:pPr>
            <w:r>
              <w:rPr>
                <w:sz w:val="20"/>
              </w:rPr>
              <w:t>0</w:t>
            </w:r>
          </w:p>
        </w:tc>
        <w:tc>
          <w:tcPr>
            <w:tcW w:w="1321" w:type="dxa"/>
            <w:vAlign w:val="center"/>
          </w:tcPr>
          <w:p>
            <w:pPr>
              <w:jc w:val="center"/>
              <w:rPr>
                <w:sz w:val="20"/>
                <w:szCs w:val="20"/>
              </w:rPr>
            </w:pPr>
            <w:r>
              <w:rPr>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sz w:val="20"/>
                <w:szCs w:val="20"/>
              </w:rPr>
            </w:pPr>
            <w:r>
              <w:rPr>
                <w:sz w:val="20"/>
              </w:rPr>
              <w:t>实训场所</w:t>
            </w:r>
          </w:p>
        </w:tc>
        <w:tc>
          <w:tcPr>
            <w:tcW w:w="1229" w:type="dxa"/>
            <w:vAlign w:val="center"/>
          </w:tcPr>
          <w:p>
            <w:pPr>
              <w:jc w:val="center"/>
              <w:rPr>
                <w:sz w:val="20"/>
                <w:szCs w:val="20"/>
              </w:rPr>
            </w:pPr>
            <w:r>
              <w:rPr>
                <w:sz w:val="20"/>
              </w:rPr>
              <w:t>0</w:t>
            </w:r>
          </w:p>
        </w:tc>
        <w:tc>
          <w:tcPr>
            <w:tcW w:w="1782" w:type="dxa"/>
            <w:vAlign w:val="center"/>
          </w:tcPr>
          <w:p>
            <w:pPr>
              <w:jc w:val="center"/>
              <w:rPr>
                <w:sz w:val="20"/>
                <w:szCs w:val="20"/>
              </w:rPr>
            </w:pPr>
            <w:r>
              <w:rPr>
                <w:sz w:val="20"/>
              </w:rPr>
              <w:t>0</w:t>
            </w:r>
          </w:p>
        </w:tc>
        <w:tc>
          <w:tcPr>
            <w:tcW w:w="1229" w:type="dxa"/>
            <w:vAlign w:val="center"/>
          </w:tcPr>
          <w:p>
            <w:pPr>
              <w:jc w:val="center"/>
              <w:rPr>
                <w:sz w:val="20"/>
                <w:szCs w:val="20"/>
              </w:rPr>
            </w:pPr>
            <w:r>
              <w:rPr>
                <w:sz w:val="20"/>
              </w:rPr>
              <w:t>0</w:t>
            </w:r>
          </w:p>
        </w:tc>
        <w:tc>
          <w:tcPr>
            <w:tcW w:w="1505" w:type="dxa"/>
            <w:vAlign w:val="center"/>
          </w:tcPr>
          <w:p>
            <w:pPr>
              <w:jc w:val="center"/>
              <w:rPr>
                <w:sz w:val="20"/>
                <w:szCs w:val="20"/>
              </w:rPr>
            </w:pPr>
            <w:r>
              <w:rPr>
                <w:sz w:val="20"/>
              </w:rPr>
              <w:t>0</w:t>
            </w:r>
          </w:p>
        </w:tc>
        <w:tc>
          <w:tcPr>
            <w:tcW w:w="1321" w:type="dxa"/>
            <w:vAlign w:val="center"/>
          </w:tcPr>
          <w:p>
            <w:pPr>
              <w:jc w:val="center"/>
              <w:rPr>
                <w:sz w:val="20"/>
                <w:szCs w:val="20"/>
              </w:rPr>
            </w:pPr>
            <w:r>
              <w:rPr>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sz w:val="20"/>
                <w:szCs w:val="20"/>
              </w:rPr>
            </w:pPr>
            <w:r>
              <w:rPr>
                <w:sz w:val="20"/>
              </w:rPr>
              <w:t>其他</w:t>
            </w:r>
          </w:p>
        </w:tc>
        <w:tc>
          <w:tcPr>
            <w:tcW w:w="1229" w:type="dxa"/>
            <w:vAlign w:val="center"/>
          </w:tcPr>
          <w:p>
            <w:pPr>
              <w:jc w:val="center"/>
              <w:rPr>
                <w:sz w:val="20"/>
                <w:szCs w:val="20"/>
              </w:rPr>
            </w:pPr>
            <w:r>
              <w:rPr>
                <w:sz w:val="20"/>
              </w:rPr>
              <w:t>0</w:t>
            </w:r>
          </w:p>
        </w:tc>
        <w:tc>
          <w:tcPr>
            <w:tcW w:w="1782" w:type="dxa"/>
            <w:vAlign w:val="center"/>
          </w:tcPr>
          <w:p>
            <w:pPr>
              <w:jc w:val="center"/>
              <w:rPr>
                <w:sz w:val="20"/>
                <w:szCs w:val="20"/>
              </w:rPr>
            </w:pPr>
            <w:r>
              <w:rPr>
                <w:sz w:val="20"/>
              </w:rPr>
              <w:t>0</w:t>
            </w:r>
          </w:p>
        </w:tc>
        <w:tc>
          <w:tcPr>
            <w:tcW w:w="1229" w:type="dxa"/>
            <w:vAlign w:val="center"/>
          </w:tcPr>
          <w:p>
            <w:pPr>
              <w:jc w:val="center"/>
              <w:rPr>
                <w:sz w:val="20"/>
                <w:szCs w:val="20"/>
              </w:rPr>
            </w:pPr>
            <w:r>
              <w:rPr>
                <w:sz w:val="20"/>
              </w:rPr>
              <w:t>0</w:t>
            </w:r>
          </w:p>
        </w:tc>
        <w:tc>
          <w:tcPr>
            <w:tcW w:w="1505" w:type="dxa"/>
            <w:vAlign w:val="center"/>
          </w:tcPr>
          <w:p>
            <w:pPr>
              <w:jc w:val="center"/>
              <w:rPr>
                <w:sz w:val="20"/>
                <w:szCs w:val="20"/>
              </w:rPr>
            </w:pPr>
            <w:r>
              <w:rPr>
                <w:sz w:val="20"/>
              </w:rPr>
              <w:t>0</w:t>
            </w:r>
          </w:p>
        </w:tc>
        <w:tc>
          <w:tcPr>
            <w:tcW w:w="1321" w:type="dxa"/>
            <w:vAlign w:val="center"/>
          </w:tcPr>
          <w:p>
            <w:pPr>
              <w:jc w:val="center"/>
              <w:rPr>
                <w:sz w:val="20"/>
                <w:szCs w:val="20"/>
              </w:rPr>
            </w:pPr>
            <w:r>
              <w:rPr>
                <w:sz w:val="20"/>
              </w:rPr>
              <w:t>0</w:t>
            </w:r>
          </w:p>
        </w:tc>
      </w:tr>
    </w:tbl>
    <w:p/>
    <w:p>
      <w:pPr>
        <w:pStyle w:val="4"/>
        <w:rPr>
          <w:rFonts w:ascii="宋体" w:hAnsi="宋体" w:eastAsia="宋体"/>
          <w:b w:val="0"/>
          <w:bCs w:val="0"/>
          <w:sz w:val="24"/>
          <w:szCs w:val="24"/>
        </w:rPr>
      </w:pPr>
      <w:bookmarkStart w:id="76" w:name="_Toc155617896"/>
      <w:r>
        <w:rPr>
          <w:rFonts w:ascii="宋体" w:hAnsi="宋体" w:eastAsia="宋体"/>
          <w:b w:val="0"/>
          <w:bCs w:val="0"/>
          <w:sz w:val="24"/>
          <w:szCs w:val="24"/>
        </w:rPr>
        <w:t>5.3校外本科教学实习实训基地情况</w:t>
      </w:r>
      <w:bookmarkEnd w:id="76"/>
    </w:p>
    <w:p>
      <w:pPr>
        <w:snapToGrid w:val="0"/>
        <w:spacing w:line="360" w:lineRule="auto"/>
        <w:ind w:firstLine="480" w:firstLineChars="200"/>
        <w:jc w:val="both"/>
      </w:pPr>
      <w:r>
        <w:rPr>
          <w:rFonts w:hint="eastAsia"/>
          <w:color w:val="000000" w:themeColor="text1"/>
          <w14:textFill>
            <w14:solidFill>
              <w14:schemeClr w14:val="tx1"/>
            </w14:solidFill>
          </w14:textFill>
        </w:rPr>
        <w:t>目前主要有4</w:t>
      </w:r>
      <w:r>
        <w:rPr>
          <w:color w:val="000000" w:themeColor="text1"/>
          <w14:textFill>
            <w14:solidFill>
              <w14:schemeClr w14:val="tx1"/>
            </w14:solidFill>
          </w14:textFill>
        </w:rPr>
        <w:t>个稳定的校外实习基地，如上海朗亿功能材料有限公司、上海</w:t>
      </w:r>
      <w:r>
        <w:t>西川密封件有限公司、中国商用飞机股份有限公司</w:t>
      </w:r>
      <w:r>
        <w:rPr>
          <w:rFonts w:hint="eastAsia"/>
        </w:rPr>
        <w:t>、上海蚁巢众创空间管理有限公司</w:t>
      </w:r>
      <w:r>
        <w:t>等。</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1"/>
        <w:gridCol w:w="1401"/>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1" w:type="dxa"/>
          </w:tcPr>
          <w:p>
            <w:pPr>
              <w:jc w:val="center"/>
              <w:rPr>
                <w:sz w:val="21"/>
                <w:szCs w:val="21"/>
              </w:rPr>
            </w:pPr>
            <w:r>
              <w:rPr>
                <w:rFonts w:hint="eastAsia"/>
                <w:sz w:val="21"/>
                <w:szCs w:val="21"/>
              </w:rPr>
              <w:t>基地名称</w:t>
            </w:r>
          </w:p>
        </w:tc>
        <w:tc>
          <w:tcPr>
            <w:tcW w:w="1401" w:type="dxa"/>
          </w:tcPr>
          <w:p>
            <w:pPr>
              <w:jc w:val="center"/>
              <w:rPr>
                <w:sz w:val="21"/>
                <w:szCs w:val="21"/>
              </w:rPr>
            </w:pPr>
            <w:r>
              <w:rPr>
                <w:rFonts w:hint="eastAsia"/>
                <w:sz w:val="21"/>
                <w:szCs w:val="21"/>
              </w:rPr>
              <w:t>建立时间</w:t>
            </w:r>
          </w:p>
        </w:tc>
        <w:tc>
          <w:tcPr>
            <w:tcW w:w="2914" w:type="dxa"/>
          </w:tcPr>
          <w:p>
            <w:pPr>
              <w:jc w:val="center"/>
              <w:rPr>
                <w:sz w:val="21"/>
                <w:szCs w:val="21"/>
              </w:rPr>
            </w:pPr>
            <w:r>
              <w:rPr>
                <w:rFonts w:hint="eastAsia"/>
                <w:sz w:val="21"/>
                <w:szCs w:val="21"/>
              </w:rPr>
              <w:t>当年接纳学生总数（人次）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1" w:type="dxa"/>
            <w:vAlign w:val="center"/>
          </w:tcPr>
          <w:p>
            <w:pPr>
              <w:jc w:val="center"/>
              <w:rPr>
                <w:sz w:val="20"/>
                <w:szCs w:val="20"/>
              </w:rPr>
            </w:pPr>
            <w:r>
              <w:rPr>
                <w:sz w:val="20"/>
                <w:szCs w:val="20"/>
              </w:rPr>
              <w:t>上海西川密封件有限公司</w:t>
            </w:r>
          </w:p>
        </w:tc>
        <w:tc>
          <w:tcPr>
            <w:tcW w:w="1401" w:type="dxa"/>
            <w:vAlign w:val="center"/>
          </w:tcPr>
          <w:p>
            <w:pPr>
              <w:jc w:val="center"/>
              <w:rPr>
                <w:sz w:val="20"/>
                <w:szCs w:val="20"/>
              </w:rPr>
            </w:pPr>
            <w:r>
              <w:rPr>
                <w:sz w:val="20"/>
                <w:szCs w:val="20"/>
              </w:rPr>
              <w:t>2002</w:t>
            </w:r>
          </w:p>
        </w:tc>
        <w:tc>
          <w:tcPr>
            <w:tcW w:w="2914" w:type="dxa"/>
            <w:vAlign w:val="center"/>
          </w:tcPr>
          <w:p>
            <w:pPr>
              <w:jc w:val="center"/>
              <w:rPr>
                <w:sz w:val="20"/>
                <w:szCs w:val="20"/>
              </w:rPr>
            </w:pPr>
            <w:r>
              <w:rPr>
                <w:sz w:val="20"/>
                <w:szCs w:val="20"/>
              </w:rPr>
              <w:t>30</w:t>
            </w:r>
            <w:bookmarkStart w:id="77" w:name="OLE_LINK50"/>
            <w:bookmarkEnd w:id="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1" w:type="dxa"/>
            <w:vAlign w:val="center"/>
          </w:tcPr>
          <w:p>
            <w:pPr>
              <w:jc w:val="center"/>
              <w:rPr>
                <w:sz w:val="20"/>
                <w:szCs w:val="20"/>
              </w:rPr>
            </w:pPr>
            <w:r>
              <w:rPr>
                <w:sz w:val="20"/>
              </w:rPr>
              <w:t>中国商用飞机有限责任公司</w:t>
            </w:r>
          </w:p>
        </w:tc>
        <w:tc>
          <w:tcPr>
            <w:tcW w:w="1401" w:type="dxa"/>
            <w:vAlign w:val="center"/>
          </w:tcPr>
          <w:p>
            <w:pPr>
              <w:jc w:val="center"/>
              <w:rPr>
                <w:sz w:val="20"/>
                <w:szCs w:val="20"/>
              </w:rPr>
            </w:pPr>
            <w:r>
              <w:rPr>
                <w:sz w:val="20"/>
              </w:rPr>
              <w:t>2008</w:t>
            </w:r>
          </w:p>
        </w:tc>
        <w:tc>
          <w:tcPr>
            <w:tcW w:w="2914" w:type="dxa"/>
            <w:vAlign w:val="center"/>
          </w:tcPr>
          <w:p>
            <w:pPr>
              <w:jc w:val="center"/>
              <w:rPr>
                <w:sz w:val="20"/>
                <w:szCs w:val="20"/>
              </w:rPr>
            </w:pPr>
            <w:r>
              <w:rPr>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1" w:type="dxa"/>
            <w:vAlign w:val="center"/>
          </w:tcPr>
          <w:p>
            <w:pPr>
              <w:jc w:val="center"/>
              <w:rPr>
                <w:sz w:val="20"/>
                <w:szCs w:val="20"/>
              </w:rPr>
            </w:pPr>
            <w:r>
              <w:rPr>
                <w:sz w:val="20"/>
              </w:rPr>
              <w:t>上海朗亿功能材料有限公司</w:t>
            </w:r>
          </w:p>
        </w:tc>
        <w:tc>
          <w:tcPr>
            <w:tcW w:w="1401" w:type="dxa"/>
            <w:vAlign w:val="center"/>
          </w:tcPr>
          <w:p>
            <w:pPr>
              <w:jc w:val="center"/>
              <w:rPr>
                <w:sz w:val="20"/>
                <w:szCs w:val="20"/>
              </w:rPr>
            </w:pPr>
            <w:r>
              <w:rPr>
                <w:sz w:val="20"/>
              </w:rPr>
              <w:t>2010</w:t>
            </w:r>
          </w:p>
        </w:tc>
        <w:tc>
          <w:tcPr>
            <w:tcW w:w="2914" w:type="dxa"/>
            <w:vAlign w:val="center"/>
          </w:tcPr>
          <w:p>
            <w:pPr>
              <w:jc w:val="center"/>
              <w:rPr>
                <w:sz w:val="20"/>
                <w:szCs w:val="20"/>
              </w:rPr>
            </w:pPr>
            <w:r>
              <w:rPr>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1" w:type="dxa"/>
            <w:vAlign w:val="center"/>
          </w:tcPr>
          <w:p>
            <w:pPr>
              <w:jc w:val="center"/>
              <w:rPr>
                <w:sz w:val="20"/>
                <w:szCs w:val="20"/>
              </w:rPr>
            </w:pPr>
            <w:r>
              <w:rPr>
                <w:sz w:val="20"/>
              </w:rPr>
              <w:t>上海蚁巢众创空间管理有限公司</w:t>
            </w:r>
          </w:p>
        </w:tc>
        <w:tc>
          <w:tcPr>
            <w:tcW w:w="1401" w:type="dxa"/>
            <w:vAlign w:val="center"/>
          </w:tcPr>
          <w:p>
            <w:pPr>
              <w:jc w:val="center"/>
              <w:rPr>
                <w:sz w:val="20"/>
                <w:szCs w:val="20"/>
              </w:rPr>
            </w:pPr>
            <w:r>
              <w:rPr>
                <w:sz w:val="20"/>
              </w:rPr>
              <w:t>2016</w:t>
            </w:r>
          </w:p>
        </w:tc>
        <w:tc>
          <w:tcPr>
            <w:tcW w:w="2914" w:type="dxa"/>
            <w:vAlign w:val="center"/>
          </w:tcPr>
          <w:p>
            <w:pPr>
              <w:jc w:val="center"/>
              <w:rPr>
                <w:sz w:val="20"/>
                <w:szCs w:val="20"/>
              </w:rPr>
            </w:pPr>
            <w:r>
              <w:rPr>
                <w:sz w:val="20"/>
              </w:rPr>
              <w:t>30</w:t>
            </w:r>
          </w:p>
        </w:tc>
      </w:tr>
    </w:tbl>
    <w:p/>
    <w:p>
      <w:pPr>
        <w:pStyle w:val="3"/>
        <w:pageBreakBefore/>
        <w:snapToGrid w:val="0"/>
        <w:spacing w:after="120" w:line="415" w:lineRule="auto"/>
        <w:jc w:val="left"/>
        <w:rPr>
          <w:rFonts w:ascii="宋体" w:hAnsi="宋体"/>
          <w:b w:val="0"/>
          <w:bCs w:val="0"/>
          <w:sz w:val="28"/>
          <w:szCs w:val="28"/>
        </w:rPr>
      </w:pPr>
      <w:bookmarkStart w:id="78" w:name="_Toc155617897"/>
      <w:r>
        <w:rPr>
          <w:rFonts w:ascii="宋体" w:hAnsi="宋体"/>
          <w:b w:val="0"/>
          <w:bCs w:val="0"/>
          <w:sz w:val="28"/>
          <w:szCs w:val="28"/>
        </w:rPr>
        <w:t>6.质量保障</w:t>
      </w:r>
      <w:bookmarkEnd w:id="78"/>
      <w:r>
        <w:rPr>
          <w:rFonts w:ascii="宋体" w:hAnsi="宋体"/>
          <w:b w:val="0"/>
          <w:bCs w:val="0"/>
          <w:sz w:val="28"/>
          <w:szCs w:val="28"/>
        </w:rPr>
        <w:t xml:space="preserve"> </w:t>
      </w:r>
    </w:p>
    <w:p>
      <w:pPr>
        <w:pStyle w:val="4"/>
        <w:snapToGrid w:val="0"/>
        <w:rPr>
          <w:rFonts w:ascii="宋体" w:hAnsi="宋体" w:eastAsia="宋体"/>
          <w:b w:val="0"/>
          <w:bCs w:val="0"/>
          <w:sz w:val="24"/>
          <w:szCs w:val="24"/>
        </w:rPr>
      </w:pPr>
      <w:bookmarkStart w:id="79" w:name="_Toc155617898"/>
      <w:r>
        <w:rPr>
          <w:rFonts w:ascii="宋体" w:hAnsi="宋体" w:eastAsia="宋体"/>
          <w:b w:val="0"/>
          <w:bCs w:val="0"/>
          <w:sz w:val="24"/>
          <w:szCs w:val="24"/>
        </w:rPr>
        <w:t>6.1质量保障体系</w:t>
      </w:r>
      <w:bookmarkEnd w:id="79"/>
    </w:p>
    <w:p>
      <w:pPr>
        <w:pStyle w:val="27"/>
        <w:tabs>
          <w:tab w:val="left" w:pos="681"/>
        </w:tabs>
        <w:snapToGrid w:val="0"/>
        <w:spacing w:before="0" w:beforeAutospacing="0" w:after="0" w:afterAutospacing="0" w:line="360" w:lineRule="auto"/>
        <w:ind w:firstLine="480" w:firstLineChars="200"/>
        <w:jc w:val="both"/>
      </w:pPr>
      <w:r>
        <w:rPr>
          <w:rFonts w:hint="eastAsia"/>
        </w:rPr>
        <w:t>质量保障体系包括教学规章制度及教学质量标准、教学质量保障体系运行机制等。</w:t>
      </w:r>
    </w:p>
    <w:p>
      <w:pPr>
        <w:pStyle w:val="27"/>
        <w:tabs>
          <w:tab w:val="left" w:pos="681"/>
        </w:tabs>
        <w:snapToGrid w:val="0"/>
        <w:spacing w:before="0" w:beforeAutospacing="0" w:after="0" w:afterAutospacing="0" w:line="360" w:lineRule="auto"/>
        <w:ind w:firstLine="480" w:firstLineChars="200"/>
        <w:jc w:val="both"/>
      </w:pPr>
      <w:r>
        <w:rPr>
          <w:rFonts w:hint="eastAsia"/>
        </w:rPr>
        <w:t>在专业定位和建设规划的基础上，根据完全学分制要求，课程设置上实行</w:t>
      </w:r>
      <w:r>
        <w:t>“</w:t>
      </w:r>
      <w:r>
        <w:rPr>
          <w:rFonts w:hint="eastAsia"/>
        </w:rPr>
        <w:t>整件制”的培养模式。创立跨校联合培养人才多层立体机制，从专业教学全流程进行质量保障体系建设：</w:t>
      </w:r>
    </w:p>
    <w:p>
      <w:pPr>
        <w:pStyle w:val="27"/>
        <w:tabs>
          <w:tab w:val="left" w:pos="681"/>
        </w:tabs>
        <w:snapToGrid w:val="0"/>
        <w:spacing w:before="0" w:beforeAutospacing="0" w:after="0" w:afterAutospacing="0" w:line="360" w:lineRule="auto"/>
        <w:ind w:firstLine="480" w:firstLineChars="200"/>
        <w:jc w:val="both"/>
        <w:rPr>
          <w:rFonts w:ascii="Times New Roman" w:hAnsi="Times New Roman" w:eastAsia="Times New Roman" w:cs="Times New Roman"/>
        </w:rPr>
      </w:pPr>
      <w:r>
        <w:rPr>
          <w:rFonts w:hint="eastAsia" w:ascii="Times New Roman" w:hAnsi="Times New Roman" w:eastAsia="Times New Roman" w:cs="Times New Roman"/>
        </w:rPr>
        <w:t>本专业按照学校、学院的教学管理规定，参与制订了《专业教学工作规范的实施细则》等工作文件，对专业系正副主任的职责及课程开设的条件、教师任教的条件与在教学工作中的职责等作出要求，作为实施教学全过程质量管理的标准。</w:t>
      </w:r>
    </w:p>
    <w:p>
      <w:pPr>
        <w:pStyle w:val="27"/>
        <w:tabs>
          <w:tab w:val="left" w:pos="681"/>
        </w:tabs>
        <w:snapToGrid w:val="0"/>
        <w:spacing w:before="0" w:beforeAutospacing="0" w:after="0" w:afterAutospacing="0" w:line="360" w:lineRule="auto"/>
        <w:ind w:firstLine="480" w:firstLineChars="200"/>
        <w:jc w:val="both"/>
        <w:rPr>
          <w:rFonts w:ascii="Times New Roman" w:hAnsi="Times New Roman" w:eastAsia="Times New Roman" w:cs="Times New Roman"/>
        </w:rPr>
      </w:pPr>
      <w:r>
        <w:rPr>
          <w:rFonts w:hint="eastAsia" w:ascii="Times New Roman" w:hAnsi="Times New Roman" w:eastAsia="Times New Roman" w:cs="Times New Roman"/>
        </w:rPr>
        <w:t>咨询专家、调整培养计划。本专业与国内高校东方管理研究院和东方管理研究中心共同探讨东方管理人才培养目标和培养规格，依据对中国未来发展的趋势判断，对东方管理人才规格、类型、数量与素养特质，通过培养计划的调整达到本专业的培养目标。</w:t>
      </w:r>
    </w:p>
    <w:p>
      <w:pPr>
        <w:pStyle w:val="27"/>
        <w:tabs>
          <w:tab w:val="left" w:pos="681"/>
        </w:tabs>
        <w:snapToGrid w:val="0"/>
        <w:spacing w:before="0" w:beforeAutospacing="0" w:after="0" w:afterAutospacing="0" w:line="360" w:lineRule="auto"/>
        <w:jc w:val="center"/>
        <w:rPr>
          <w:b/>
          <w:bCs/>
          <w:sz w:val="18"/>
          <w:szCs w:val="18"/>
        </w:rPr>
      </w:pPr>
      <w:r>
        <w:rPr>
          <w:rFonts w:hint="eastAsia"/>
          <w:b/>
          <w:bCs/>
          <w:sz w:val="18"/>
          <w:szCs w:val="18"/>
        </w:rPr>
        <w:drawing>
          <wp:inline distT="0" distB="0" distL="114300" distR="114300">
            <wp:extent cx="3136265" cy="1191895"/>
            <wp:effectExtent l="0" t="0" r="13335" b="1905"/>
            <wp:docPr id="4" name="图片 2" descr="屏幕快照 2013-08-22 下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屏幕快照 2013-08-22 下午4"/>
                    <pic:cNvPicPr>
                      <a:picLocks noChangeAspect="1"/>
                    </pic:cNvPicPr>
                  </pic:nvPicPr>
                  <pic:blipFill>
                    <a:blip r:embed="rId15"/>
                    <a:stretch>
                      <a:fillRect/>
                    </a:stretch>
                  </pic:blipFill>
                  <pic:spPr>
                    <a:xfrm>
                      <a:off x="0" y="0"/>
                      <a:ext cx="3136265" cy="1191895"/>
                    </a:xfrm>
                    <a:prstGeom prst="rect">
                      <a:avLst/>
                    </a:prstGeom>
                    <a:noFill/>
                    <a:ln>
                      <a:noFill/>
                    </a:ln>
                  </pic:spPr>
                </pic:pic>
              </a:graphicData>
            </a:graphic>
          </wp:inline>
        </w:drawing>
      </w:r>
    </w:p>
    <w:p>
      <w:pPr>
        <w:pStyle w:val="27"/>
        <w:tabs>
          <w:tab w:val="left" w:pos="681"/>
        </w:tabs>
        <w:snapToGrid w:val="0"/>
        <w:spacing w:before="0" w:beforeAutospacing="0" w:after="0" w:afterAutospacing="0" w:line="360" w:lineRule="auto"/>
        <w:jc w:val="center"/>
      </w:pPr>
      <w:r>
        <w:rPr>
          <w:rFonts w:hint="eastAsia"/>
        </w:rPr>
        <w:t>图</w:t>
      </w:r>
      <w:r>
        <w:t>6-</w:t>
      </w:r>
      <w:r>
        <w:rPr>
          <w:rFonts w:hint="eastAsia"/>
        </w:rPr>
        <w:t>1 校院两级质量管理体系</w:t>
      </w:r>
    </w:p>
    <w:p>
      <w:pPr>
        <w:pStyle w:val="27"/>
        <w:tabs>
          <w:tab w:val="left" w:pos="681"/>
        </w:tabs>
        <w:snapToGrid w:val="0"/>
        <w:spacing w:before="0" w:beforeAutospacing="0" w:after="0" w:afterAutospacing="0" w:line="360" w:lineRule="auto"/>
        <w:jc w:val="center"/>
        <w:rPr>
          <w:rFonts w:cs="Times New Roman"/>
          <w:kern w:val="2"/>
        </w:rPr>
      </w:pPr>
      <w:r>
        <w:rPr>
          <w:rFonts w:cs="Times New Roman"/>
          <w:kern w:val="2"/>
        </w:rPr>
        <mc:AlternateContent>
          <mc:Choice Requires="wpg">
            <w:drawing>
              <wp:inline distT="0" distB="0" distL="114300" distR="114300">
                <wp:extent cx="5065395" cy="3793490"/>
                <wp:effectExtent l="6350" t="6350" r="8255" b="10160"/>
                <wp:docPr id="42" name="组合 42"/>
                <wp:cNvGraphicFramePr/>
                <a:graphic xmlns:a="http://schemas.openxmlformats.org/drawingml/2006/main">
                  <a:graphicData uri="http://schemas.microsoft.com/office/word/2010/wordprocessingGroup">
                    <wpg:wgp>
                      <wpg:cNvGrpSpPr>
                        <a:grpSpLocks noRot="1"/>
                      </wpg:cNvGrpSpPr>
                      <wpg:grpSpPr>
                        <a:xfrm>
                          <a:off x="0" y="0"/>
                          <a:ext cx="5065395" cy="3793490"/>
                          <a:chOff x="0" y="0"/>
                          <a:chExt cx="9030" cy="4992"/>
                        </a:xfrm>
                      </wpg:grpSpPr>
                      <wpg:grpSp>
                        <wpg:cNvPr id="9" name="组合 9"/>
                        <wpg:cNvGrpSpPr/>
                        <wpg:grpSpPr>
                          <a:xfrm>
                            <a:off x="0" y="1248"/>
                            <a:ext cx="1260" cy="3744"/>
                            <a:chOff x="0" y="0"/>
                            <a:chExt cx="1632" cy="2652"/>
                          </a:xfrm>
                        </wpg:grpSpPr>
                        <wps:wsp>
                          <wps:cNvPr id="5" name="文本框 5"/>
                          <wps:cNvSpPr txBox="1"/>
                          <wps:spPr>
                            <a:xfrm>
                              <a:off x="12" y="0"/>
                              <a:ext cx="1620" cy="780"/>
                            </a:xfrm>
                            <a:prstGeom prst="rect">
                              <a:avLst/>
                            </a:prstGeom>
                            <a:solidFill>
                              <a:srgbClr val="C0C0C0"/>
                            </a:solidFill>
                            <a:ln w="9525" cap="flat" cmpd="sng">
                              <a:solidFill>
                                <a:srgbClr val="000000"/>
                              </a:solidFill>
                              <a:prstDash val="solid"/>
                              <a:miter/>
                              <a:headEnd type="none" w="med" len="med"/>
                              <a:tailEnd type="none" w="med" len="med"/>
                            </a:ln>
                          </wps:spPr>
                          <wps:txbx>
                            <w:txbxContent>
                              <w:p>
                                <w:pPr>
                                  <w:widowControl w:val="0"/>
                                  <w:jc w:val="center"/>
                                  <w:rPr>
                                    <w:rFonts w:ascii="Calibri" w:hAnsi="Calibri" w:cs="Times New Roman"/>
                                    <w:b/>
                                    <w:bCs/>
                                    <w:kern w:val="2"/>
                                    <w:sz w:val="18"/>
                                    <w:szCs w:val="18"/>
                                  </w:rPr>
                                </w:pPr>
                                <w:r>
                                  <w:rPr>
                                    <w:rFonts w:hint="eastAsia" w:ascii="Calibri" w:hAnsi="Calibri" w:eastAsia="仿宋_GB2312" w:cs="仿宋_GB2312"/>
                                    <w:b/>
                                    <w:bCs/>
                                    <w:kern w:val="2"/>
                                    <w:sz w:val="18"/>
                                    <w:szCs w:val="18"/>
                                  </w:rPr>
                                  <w:t>优质课程建设制度与标准</w:t>
                                </w:r>
                              </w:p>
                            </w:txbxContent>
                          </wps:txbx>
                          <wps:bodyPr upright="1"/>
                        </wps:wsp>
                        <wps:wsp>
                          <wps:cNvPr id="6" name="文本框 6"/>
                          <wps:cNvSpPr txBox="1"/>
                          <wps:spPr>
                            <a:xfrm>
                              <a:off x="0" y="780"/>
                              <a:ext cx="16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jc w:val="center"/>
                                  <w:rPr>
                                    <w:rFonts w:ascii="Calibri" w:hAnsi="Calibri" w:cs="Times New Roman"/>
                                    <w:kern w:val="2"/>
                                    <w:sz w:val="20"/>
                                    <w:szCs w:val="20"/>
                                  </w:rPr>
                                </w:pPr>
                                <w:r>
                                  <w:rPr>
                                    <w:rFonts w:hint="eastAsia" w:ascii="Calibri" w:hAnsi="Calibri" w:cs="Times New Roman"/>
                                    <w:kern w:val="2"/>
                                    <w:sz w:val="20"/>
                                    <w:szCs w:val="20"/>
                                  </w:rPr>
                                  <w:t>包括教材建设、教学管理、教学实施效果等方面内容；</w:t>
                                </w:r>
                              </w:p>
                            </w:txbxContent>
                          </wps:txbx>
                          <wps:bodyPr upright="1"/>
                        </wps:wsp>
                      </wpg:grpSp>
                      <wpg:grpSp>
                        <wpg:cNvPr id="15" name="组合 15"/>
                        <wpg:cNvGrpSpPr/>
                        <wpg:grpSpPr>
                          <a:xfrm>
                            <a:off x="1290" y="1248"/>
                            <a:ext cx="1260" cy="3744"/>
                            <a:chOff x="0" y="0"/>
                            <a:chExt cx="1632" cy="2652"/>
                          </a:xfrm>
                        </wpg:grpSpPr>
                        <wps:wsp>
                          <wps:cNvPr id="10" name="文本框 10"/>
                          <wps:cNvSpPr txBox="1"/>
                          <wps:spPr>
                            <a:xfrm>
                              <a:off x="12" y="0"/>
                              <a:ext cx="1620" cy="780"/>
                            </a:xfrm>
                            <a:prstGeom prst="rect">
                              <a:avLst/>
                            </a:prstGeom>
                            <a:solidFill>
                              <a:srgbClr val="C0C0C0"/>
                            </a:solidFill>
                            <a:ln w="9525" cap="flat" cmpd="sng">
                              <a:solidFill>
                                <a:srgbClr val="000000"/>
                              </a:solidFill>
                              <a:prstDash val="solid"/>
                              <a:miter/>
                              <a:headEnd type="none" w="med" len="med"/>
                              <a:tailEnd type="none" w="med" len="med"/>
                            </a:ln>
                          </wps:spPr>
                          <wps:txbx>
                            <w:txbxContent>
                              <w:p>
                                <w:pPr>
                                  <w:widowControl w:val="0"/>
                                  <w:jc w:val="center"/>
                                  <w:rPr>
                                    <w:rFonts w:ascii="仿宋_GB2312" w:hAnsi="Calibri" w:eastAsia="仿宋_GB2312" w:cs="Times New Roman"/>
                                    <w:b/>
                                    <w:bCs/>
                                    <w:kern w:val="2"/>
                                    <w:sz w:val="22"/>
                                    <w:szCs w:val="22"/>
                                  </w:rPr>
                                </w:pPr>
                                <w:r>
                                  <w:rPr>
                                    <w:rFonts w:hint="eastAsia" w:ascii="仿宋_GB2312" w:hAnsi="Calibri" w:eastAsia="仿宋_GB2312" w:cs="仿宋_GB2312"/>
                                    <w:b/>
                                    <w:bCs/>
                                    <w:kern w:val="2"/>
                                    <w:sz w:val="18"/>
                                    <w:szCs w:val="18"/>
                                  </w:rPr>
                                  <w:t>备课制度与标准</w:t>
                                </w:r>
                              </w:p>
                            </w:txbxContent>
                          </wps:txbx>
                          <wps:bodyPr upright="1"/>
                        </wps:wsp>
                        <wps:wsp>
                          <wps:cNvPr id="14" name="文本框 14"/>
                          <wps:cNvSpPr txBox="1"/>
                          <wps:spPr>
                            <a:xfrm>
                              <a:off x="0" y="780"/>
                              <a:ext cx="16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jc w:val="center"/>
                                  <w:rPr>
                                    <w:rFonts w:ascii="Calibri" w:hAnsi="Calibri" w:cs="Times New Roman"/>
                                    <w:kern w:val="2"/>
                                    <w:sz w:val="20"/>
                                    <w:szCs w:val="20"/>
                                  </w:rPr>
                                </w:pPr>
                                <w:r>
                                  <w:rPr>
                                    <w:rFonts w:hint="eastAsia" w:ascii="Calibri" w:hAnsi="Calibri" w:cs="Times New Roman"/>
                                    <w:kern w:val="2"/>
                                    <w:sz w:val="20"/>
                                    <w:szCs w:val="20"/>
                                  </w:rPr>
                                  <w:t>包括教师教学进度表、教学内容安排、教学方法与手段、教案与集体备课等；</w:t>
                                </w:r>
                              </w:p>
                            </w:txbxContent>
                          </wps:txbx>
                          <wps:bodyPr upright="1"/>
                        </wps:wsp>
                      </wpg:grpSp>
                      <wpg:grpSp>
                        <wpg:cNvPr id="19" name="组合 19"/>
                        <wpg:cNvGrpSpPr/>
                        <wpg:grpSpPr>
                          <a:xfrm>
                            <a:off x="2595" y="1248"/>
                            <a:ext cx="1260" cy="3744"/>
                            <a:chOff x="0" y="0"/>
                            <a:chExt cx="1632" cy="2652"/>
                          </a:xfrm>
                        </wpg:grpSpPr>
                        <wps:wsp>
                          <wps:cNvPr id="17" name="文本框 17"/>
                          <wps:cNvSpPr txBox="1"/>
                          <wps:spPr>
                            <a:xfrm>
                              <a:off x="12" y="0"/>
                              <a:ext cx="1620" cy="780"/>
                            </a:xfrm>
                            <a:prstGeom prst="rect">
                              <a:avLst/>
                            </a:prstGeom>
                            <a:solidFill>
                              <a:srgbClr val="C0C0C0"/>
                            </a:solidFill>
                            <a:ln w="9525" cap="flat" cmpd="sng">
                              <a:solidFill>
                                <a:srgbClr val="000000"/>
                              </a:solidFill>
                              <a:prstDash val="solid"/>
                              <a:miter/>
                              <a:headEnd type="none" w="med" len="med"/>
                              <a:tailEnd type="none" w="med" len="med"/>
                            </a:ln>
                          </wps:spPr>
                          <wps:txbx>
                            <w:txbxContent>
                              <w:p>
                                <w:pPr>
                                  <w:widowControl w:val="0"/>
                                  <w:jc w:val="center"/>
                                  <w:rPr>
                                    <w:rFonts w:ascii="仿宋_GB2312" w:hAnsi="Calibri" w:eastAsia="仿宋_GB2312" w:cs="Times New Roman"/>
                                    <w:b/>
                                    <w:bCs/>
                                    <w:kern w:val="2"/>
                                    <w:sz w:val="18"/>
                                    <w:szCs w:val="18"/>
                                  </w:rPr>
                                </w:pPr>
                                <w:r>
                                  <w:rPr>
                                    <w:rFonts w:hint="eastAsia" w:ascii="仿宋_GB2312" w:hAnsi="Calibri" w:eastAsia="仿宋_GB2312" w:cs="仿宋_GB2312"/>
                                    <w:b/>
                                    <w:bCs/>
                                    <w:kern w:val="2"/>
                                    <w:sz w:val="18"/>
                                    <w:szCs w:val="18"/>
                                  </w:rPr>
                                  <w:t>课堂教学质量制度与标准</w:t>
                                </w:r>
                              </w:p>
                            </w:txbxContent>
                          </wps:txbx>
                          <wps:bodyPr upright="1"/>
                        </wps:wsp>
                        <wps:wsp>
                          <wps:cNvPr id="18" name="文本框 18"/>
                          <wps:cNvSpPr txBox="1"/>
                          <wps:spPr>
                            <a:xfrm>
                              <a:off x="0" y="780"/>
                              <a:ext cx="16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jc w:val="center"/>
                                  <w:rPr>
                                    <w:rFonts w:ascii="Calibri" w:hAnsi="Calibri" w:cs="Times New Roman"/>
                                    <w:kern w:val="2"/>
                                    <w:sz w:val="20"/>
                                    <w:szCs w:val="20"/>
                                  </w:rPr>
                                </w:pPr>
                                <w:r>
                                  <w:rPr>
                                    <w:rFonts w:hint="eastAsia" w:ascii="Calibri" w:hAnsi="Calibri" w:cs="Times New Roman"/>
                                    <w:kern w:val="2"/>
                                    <w:sz w:val="20"/>
                                    <w:szCs w:val="20"/>
                                  </w:rPr>
                                  <w:t>包括教师的仪表仪态、教学内容、教学手段、课堂组织、教学效果督查等；</w:t>
                                </w:r>
                              </w:p>
                            </w:txbxContent>
                          </wps:txbx>
                          <wps:bodyPr upright="1"/>
                        </wps:wsp>
                      </wpg:grpSp>
                      <wpg:grpSp>
                        <wpg:cNvPr id="22" name="组合 22"/>
                        <wpg:cNvGrpSpPr/>
                        <wpg:grpSpPr>
                          <a:xfrm>
                            <a:off x="3885" y="1248"/>
                            <a:ext cx="1260" cy="3744"/>
                            <a:chOff x="0" y="0"/>
                            <a:chExt cx="1632" cy="2652"/>
                          </a:xfrm>
                        </wpg:grpSpPr>
                        <wps:wsp>
                          <wps:cNvPr id="20" name="文本框 20"/>
                          <wps:cNvSpPr txBox="1"/>
                          <wps:spPr>
                            <a:xfrm>
                              <a:off x="12" y="0"/>
                              <a:ext cx="1620" cy="780"/>
                            </a:xfrm>
                            <a:prstGeom prst="rect">
                              <a:avLst/>
                            </a:prstGeom>
                            <a:solidFill>
                              <a:srgbClr val="C0C0C0"/>
                            </a:solidFill>
                            <a:ln w="9525" cap="flat" cmpd="sng">
                              <a:solidFill>
                                <a:srgbClr val="000000"/>
                              </a:solidFill>
                              <a:prstDash val="solid"/>
                              <a:miter/>
                              <a:headEnd type="none" w="med" len="med"/>
                              <a:tailEnd type="none" w="med" len="med"/>
                            </a:ln>
                          </wps:spPr>
                          <wps:txbx>
                            <w:txbxContent>
                              <w:p>
                                <w:pPr>
                                  <w:widowControl w:val="0"/>
                                  <w:jc w:val="center"/>
                                  <w:rPr>
                                    <w:rFonts w:ascii="仿宋_GB2312" w:hAnsi="Calibri" w:eastAsia="仿宋_GB2312" w:cs="Times New Roman"/>
                                    <w:b/>
                                    <w:bCs/>
                                    <w:kern w:val="2"/>
                                    <w:sz w:val="18"/>
                                    <w:szCs w:val="18"/>
                                  </w:rPr>
                                </w:pPr>
                                <w:r>
                                  <w:rPr>
                                    <w:rFonts w:hint="eastAsia" w:ascii="仿宋_GB2312" w:hAnsi="Calibri" w:eastAsia="仿宋_GB2312" w:cs="仿宋_GB2312"/>
                                    <w:b/>
                                    <w:bCs/>
                                    <w:kern w:val="2"/>
                                    <w:sz w:val="18"/>
                                    <w:szCs w:val="18"/>
                                  </w:rPr>
                                  <w:t>课外作业与辅导制度与标准</w:t>
                                </w:r>
                              </w:p>
                            </w:txbxContent>
                          </wps:txbx>
                          <wps:bodyPr upright="1"/>
                        </wps:wsp>
                        <wps:wsp>
                          <wps:cNvPr id="21" name="文本框 21"/>
                          <wps:cNvSpPr txBox="1"/>
                          <wps:spPr>
                            <a:xfrm>
                              <a:off x="0" y="780"/>
                              <a:ext cx="16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jc w:val="center"/>
                                  <w:rPr>
                                    <w:rFonts w:ascii="Calibri" w:hAnsi="Calibri" w:cs="Times New Roman"/>
                                    <w:kern w:val="2"/>
                                    <w:sz w:val="20"/>
                                    <w:szCs w:val="20"/>
                                  </w:rPr>
                                </w:pPr>
                                <w:r>
                                  <w:rPr>
                                    <w:rFonts w:hint="eastAsia" w:ascii="Calibri" w:hAnsi="Calibri" w:cs="Times New Roman"/>
                                    <w:kern w:val="2"/>
                                    <w:sz w:val="20"/>
                                    <w:szCs w:val="20"/>
                                  </w:rPr>
                                  <w:t>包括作业布置与批改、辅导答疑的方法与时间等；</w:t>
                                </w:r>
                              </w:p>
                            </w:txbxContent>
                          </wps:txbx>
                          <wps:bodyPr upright="1"/>
                        </wps:wsp>
                      </wpg:grpSp>
                      <wpg:grpSp>
                        <wpg:cNvPr id="25" name="组合 25"/>
                        <wpg:cNvGrpSpPr/>
                        <wpg:grpSpPr>
                          <a:xfrm>
                            <a:off x="5175" y="1248"/>
                            <a:ext cx="1260" cy="3744"/>
                            <a:chOff x="0" y="0"/>
                            <a:chExt cx="1632" cy="2652"/>
                          </a:xfrm>
                        </wpg:grpSpPr>
                        <wps:wsp>
                          <wps:cNvPr id="23" name="文本框 23"/>
                          <wps:cNvSpPr txBox="1"/>
                          <wps:spPr>
                            <a:xfrm>
                              <a:off x="12" y="0"/>
                              <a:ext cx="1620" cy="780"/>
                            </a:xfrm>
                            <a:prstGeom prst="rect">
                              <a:avLst/>
                            </a:prstGeom>
                            <a:solidFill>
                              <a:srgbClr val="C0C0C0"/>
                            </a:solidFill>
                            <a:ln w="9525" cap="flat" cmpd="sng">
                              <a:solidFill>
                                <a:srgbClr val="000000"/>
                              </a:solidFill>
                              <a:prstDash val="solid"/>
                              <a:miter/>
                              <a:headEnd type="none" w="med" len="med"/>
                              <a:tailEnd type="none" w="med" len="med"/>
                            </a:ln>
                          </wps:spPr>
                          <wps:txbx>
                            <w:txbxContent>
                              <w:p>
                                <w:pPr>
                                  <w:widowControl w:val="0"/>
                                  <w:jc w:val="center"/>
                                  <w:rPr>
                                    <w:rFonts w:ascii="仿宋_GB2312" w:hAnsi="Calibri" w:eastAsia="仿宋_GB2312" w:cs="Times New Roman"/>
                                    <w:b/>
                                    <w:bCs/>
                                    <w:kern w:val="2"/>
                                    <w:sz w:val="21"/>
                                  </w:rPr>
                                </w:pPr>
                                <w:r>
                                  <w:rPr>
                                    <w:rFonts w:hint="eastAsia" w:ascii="仿宋_GB2312" w:hAnsi="Calibri" w:eastAsia="仿宋_GB2312" w:cs="仿宋_GB2312"/>
                                    <w:b/>
                                    <w:bCs/>
                                    <w:kern w:val="2"/>
                                    <w:sz w:val="18"/>
                                    <w:szCs w:val="18"/>
                                  </w:rPr>
                                  <w:t>实践教学制度与标准</w:t>
                                </w:r>
                              </w:p>
                            </w:txbxContent>
                          </wps:txbx>
                          <wps:bodyPr upright="1"/>
                        </wps:wsp>
                        <wps:wsp>
                          <wps:cNvPr id="24" name="文本框 24"/>
                          <wps:cNvSpPr txBox="1"/>
                          <wps:spPr>
                            <a:xfrm>
                              <a:off x="0" y="780"/>
                              <a:ext cx="16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jc w:val="both"/>
                                  <w:rPr>
                                    <w:rFonts w:ascii="Calibri" w:hAnsi="Calibri" w:cs="Times New Roman"/>
                                    <w:kern w:val="2"/>
                                    <w:sz w:val="28"/>
                                    <w:szCs w:val="28"/>
                                  </w:rPr>
                                </w:pPr>
                                <w:r>
                                  <w:rPr>
                                    <w:rFonts w:hint="eastAsia" w:ascii="Calibri" w:hAnsi="Calibri" w:cs="Times New Roman"/>
                                    <w:kern w:val="2"/>
                                    <w:sz w:val="20"/>
                                    <w:szCs w:val="20"/>
                                  </w:rPr>
                                  <w:t>包括课程实习、合作教育的内容要求、时间安排、方式选择、单位落实等；</w:t>
                                </w:r>
                              </w:p>
                            </w:txbxContent>
                          </wps:txbx>
                          <wps:bodyPr upright="1"/>
                        </wps:wsp>
                      </wpg:grpSp>
                      <wpg:grpSp>
                        <wpg:cNvPr id="28" name="组合 28"/>
                        <wpg:cNvGrpSpPr/>
                        <wpg:grpSpPr>
                          <a:xfrm>
                            <a:off x="6480" y="1248"/>
                            <a:ext cx="1260" cy="3744"/>
                            <a:chOff x="0" y="0"/>
                            <a:chExt cx="1632" cy="2652"/>
                          </a:xfrm>
                        </wpg:grpSpPr>
                        <wps:wsp>
                          <wps:cNvPr id="26" name="文本框 26"/>
                          <wps:cNvSpPr txBox="1"/>
                          <wps:spPr>
                            <a:xfrm>
                              <a:off x="12" y="0"/>
                              <a:ext cx="1620" cy="780"/>
                            </a:xfrm>
                            <a:prstGeom prst="rect">
                              <a:avLst/>
                            </a:prstGeom>
                            <a:solidFill>
                              <a:srgbClr val="C0C0C0"/>
                            </a:solidFill>
                            <a:ln w="9525" cap="flat" cmpd="sng">
                              <a:solidFill>
                                <a:srgbClr val="000000"/>
                              </a:solidFill>
                              <a:prstDash val="solid"/>
                              <a:miter/>
                              <a:headEnd type="none" w="med" len="med"/>
                              <a:tailEnd type="none" w="med" len="med"/>
                            </a:ln>
                          </wps:spPr>
                          <wps:txbx>
                            <w:txbxContent>
                              <w:p>
                                <w:pPr>
                                  <w:widowControl w:val="0"/>
                                  <w:jc w:val="center"/>
                                  <w:rPr>
                                    <w:rFonts w:ascii="仿宋_GB2312" w:hAnsi="Calibri" w:eastAsia="仿宋_GB2312" w:cs="Times New Roman"/>
                                    <w:b/>
                                    <w:bCs/>
                                    <w:kern w:val="2"/>
                                    <w:sz w:val="28"/>
                                    <w:szCs w:val="28"/>
                                  </w:rPr>
                                </w:pPr>
                                <w:r>
                                  <w:rPr>
                                    <w:rFonts w:hint="eastAsia" w:ascii="仿宋_GB2312" w:hAnsi="Calibri" w:eastAsia="仿宋_GB2312" w:cs="仿宋_GB2312"/>
                                    <w:b/>
                                    <w:bCs/>
                                    <w:kern w:val="2"/>
                                    <w:sz w:val="20"/>
                                    <w:szCs w:val="20"/>
                                  </w:rPr>
                                  <w:t>考试制度与标准</w:t>
                                </w:r>
                              </w:p>
                            </w:txbxContent>
                          </wps:txbx>
                          <wps:bodyPr upright="1"/>
                        </wps:wsp>
                        <wps:wsp>
                          <wps:cNvPr id="27" name="文本框 27"/>
                          <wps:cNvSpPr txBox="1"/>
                          <wps:spPr>
                            <a:xfrm>
                              <a:off x="0" y="780"/>
                              <a:ext cx="16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jc w:val="both"/>
                                  <w:rPr>
                                    <w:rFonts w:ascii="Calibri" w:hAnsi="Calibri" w:cs="Times New Roman"/>
                                    <w:kern w:val="2"/>
                                    <w:sz w:val="28"/>
                                    <w:szCs w:val="28"/>
                                  </w:rPr>
                                </w:pPr>
                                <w:r>
                                  <w:rPr>
                                    <w:rFonts w:hint="eastAsia" w:ascii="Calibri" w:hAnsi="Calibri" w:cs="Times New Roman"/>
                                    <w:kern w:val="2"/>
                                    <w:sz w:val="20"/>
                                    <w:szCs w:val="20"/>
                                  </w:rPr>
                                  <w:t>包括课程考试试卷的审核、题库建设、监考、阅卷、试卷分析、成绩登记等；</w:t>
                                </w:r>
                              </w:p>
                            </w:txbxContent>
                          </wps:txbx>
                          <wps:bodyPr upright="1"/>
                        </wps:wsp>
                      </wpg:grpSp>
                      <wpg:grpSp>
                        <wpg:cNvPr id="31" name="组合 31"/>
                        <wpg:cNvGrpSpPr/>
                        <wpg:grpSpPr>
                          <a:xfrm>
                            <a:off x="7770" y="1248"/>
                            <a:ext cx="1260" cy="3744"/>
                            <a:chOff x="0" y="0"/>
                            <a:chExt cx="1632" cy="2652"/>
                          </a:xfrm>
                        </wpg:grpSpPr>
                        <wps:wsp>
                          <wps:cNvPr id="29" name="文本框 29"/>
                          <wps:cNvSpPr txBox="1"/>
                          <wps:spPr>
                            <a:xfrm>
                              <a:off x="12" y="0"/>
                              <a:ext cx="1620" cy="780"/>
                            </a:xfrm>
                            <a:prstGeom prst="rect">
                              <a:avLst/>
                            </a:prstGeom>
                            <a:solidFill>
                              <a:srgbClr val="C0C0C0"/>
                            </a:solidFill>
                            <a:ln w="9525" cap="flat" cmpd="sng">
                              <a:solidFill>
                                <a:srgbClr val="000000"/>
                              </a:solidFill>
                              <a:prstDash val="solid"/>
                              <a:miter/>
                              <a:headEnd type="none" w="med" len="med"/>
                              <a:tailEnd type="none" w="med" len="med"/>
                            </a:ln>
                          </wps:spPr>
                          <wps:txbx>
                            <w:txbxContent>
                              <w:p>
                                <w:pPr>
                                  <w:widowControl w:val="0"/>
                                  <w:jc w:val="center"/>
                                  <w:rPr>
                                    <w:rFonts w:ascii="仿宋_GB2312" w:hAnsi="Calibri" w:eastAsia="仿宋_GB2312" w:cs="Times New Roman"/>
                                    <w:b/>
                                    <w:bCs/>
                                    <w:kern w:val="2"/>
                                    <w:sz w:val="21"/>
                                  </w:rPr>
                                </w:pPr>
                                <w:r>
                                  <w:rPr>
                                    <w:rFonts w:hint="eastAsia" w:ascii="仿宋_GB2312" w:hAnsi="Calibri" w:eastAsia="仿宋_GB2312" w:cs="仿宋_GB2312"/>
                                    <w:b/>
                                    <w:bCs/>
                                    <w:kern w:val="2"/>
                                    <w:sz w:val="18"/>
                                    <w:szCs w:val="18"/>
                                  </w:rPr>
                                  <w:t>毕业论文制度与标准</w:t>
                                </w:r>
                              </w:p>
                            </w:txbxContent>
                          </wps:txbx>
                          <wps:bodyPr upright="1"/>
                        </wps:wsp>
                        <wps:wsp>
                          <wps:cNvPr id="30" name="文本框 30"/>
                          <wps:cNvSpPr txBox="1"/>
                          <wps:spPr>
                            <a:xfrm>
                              <a:off x="0" y="780"/>
                              <a:ext cx="16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jc w:val="center"/>
                                  <w:rPr>
                                    <w:rFonts w:ascii="Calibri" w:hAnsi="Calibri" w:cs="Times New Roman"/>
                                    <w:kern w:val="2"/>
                                    <w:sz w:val="20"/>
                                    <w:szCs w:val="20"/>
                                  </w:rPr>
                                </w:pPr>
                                <w:r>
                                  <w:rPr>
                                    <w:rFonts w:hint="eastAsia" w:ascii="Calibri" w:hAnsi="Calibri" w:cs="Times New Roman"/>
                                    <w:kern w:val="2"/>
                                    <w:sz w:val="20"/>
                                    <w:szCs w:val="20"/>
                                  </w:rPr>
                                  <w:t>包括论文立题表、论文答辩以及成绩评定等</w:t>
                                </w:r>
                              </w:p>
                            </w:txbxContent>
                          </wps:txbx>
                          <wps:bodyPr upright="1"/>
                        </wps:wsp>
                      </wpg:grpSp>
                      <wps:wsp>
                        <wps:cNvPr id="32" name="文本框 32"/>
                        <wps:cNvSpPr txBox="1"/>
                        <wps:spPr>
                          <a:xfrm>
                            <a:off x="2517" y="0"/>
                            <a:ext cx="4320" cy="589"/>
                          </a:xfrm>
                          <a:prstGeom prst="rect">
                            <a:avLst/>
                          </a:prstGeom>
                          <a:solidFill>
                            <a:srgbClr val="C0C0C0"/>
                          </a:solidFill>
                          <a:ln w="9525" cap="flat" cmpd="sng">
                            <a:solidFill>
                              <a:srgbClr val="000000"/>
                            </a:solidFill>
                            <a:prstDash val="solid"/>
                            <a:miter/>
                            <a:headEnd type="none" w="med" len="med"/>
                            <a:tailEnd type="none" w="med" len="med"/>
                          </a:ln>
                        </wps:spPr>
                        <wps:txbx>
                          <w:txbxContent>
                            <w:p>
                              <w:pPr>
                                <w:widowControl w:val="0"/>
                                <w:jc w:val="center"/>
                                <w:rPr>
                                  <w:rFonts w:ascii="Calibri" w:hAnsi="Calibri" w:cs="Times New Roman"/>
                                  <w:b/>
                                  <w:bCs/>
                                  <w:kern w:val="2"/>
                                  <w:sz w:val="21"/>
                                </w:rPr>
                              </w:pPr>
                              <w:r>
                                <w:rPr>
                                  <w:rFonts w:hint="eastAsia" w:ascii="Calibri" w:hAnsi="Calibri" w:eastAsia="仿宋_GB2312" w:cs="仿宋_GB2312"/>
                                  <w:b/>
                                  <w:bCs/>
                                  <w:kern w:val="2"/>
                                  <w:sz w:val="21"/>
                                </w:rPr>
                                <w:t>主要教学环节制度</w:t>
                              </w:r>
                            </w:p>
                          </w:txbxContent>
                        </wps:txbx>
                        <wps:bodyPr upright="1"/>
                      </wps:wsp>
                      <wps:wsp>
                        <wps:cNvPr id="33" name="直接连接符 33"/>
                        <wps:cNvCnPr/>
                        <wps:spPr>
                          <a:xfrm>
                            <a:off x="720" y="936"/>
                            <a:ext cx="7740" cy="0"/>
                          </a:xfrm>
                          <a:prstGeom prst="line">
                            <a:avLst/>
                          </a:prstGeom>
                          <a:ln w="9525" cap="flat" cmpd="sng">
                            <a:solidFill>
                              <a:srgbClr val="000000"/>
                            </a:solidFill>
                            <a:prstDash val="solid"/>
                            <a:headEnd type="none" w="med" len="med"/>
                            <a:tailEnd type="none" w="med" len="med"/>
                          </a:ln>
                        </wps:spPr>
                        <wps:bodyPr/>
                      </wps:wsp>
                      <wps:wsp>
                        <wps:cNvPr id="34" name="直接连接符 34"/>
                        <wps:cNvCnPr/>
                        <wps:spPr>
                          <a:xfrm>
                            <a:off x="720" y="936"/>
                            <a:ext cx="0" cy="312"/>
                          </a:xfrm>
                          <a:prstGeom prst="line">
                            <a:avLst/>
                          </a:prstGeom>
                          <a:ln w="9525" cap="flat" cmpd="sng">
                            <a:solidFill>
                              <a:srgbClr val="000000"/>
                            </a:solidFill>
                            <a:prstDash val="solid"/>
                            <a:headEnd type="none" w="med" len="med"/>
                            <a:tailEnd type="none" w="med" len="med"/>
                          </a:ln>
                        </wps:spPr>
                        <wps:bodyPr/>
                      </wps:wsp>
                      <wps:wsp>
                        <wps:cNvPr id="35" name="直接连接符 35"/>
                        <wps:cNvCnPr/>
                        <wps:spPr>
                          <a:xfrm>
                            <a:off x="8460" y="936"/>
                            <a:ext cx="0" cy="312"/>
                          </a:xfrm>
                          <a:prstGeom prst="line">
                            <a:avLst/>
                          </a:prstGeom>
                          <a:ln w="9525" cap="flat" cmpd="sng">
                            <a:solidFill>
                              <a:srgbClr val="000000"/>
                            </a:solidFill>
                            <a:prstDash val="solid"/>
                            <a:headEnd type="none" w="med" len="med"/>
                            <a:tailEnd type="none" w="med" len="med"/>
                          </a:ln>
                        </wps:spPr>
                        <wps:bodyPr/>
                      </wps:wsp>
                      <wps:wsp>
                        <wps:cNvPr id="36" name="直接连接符 36"/>
                        <wps:cNvCnPr/>
                        <wps:spPr>
                          <a:xfrm>
                            <a:off x="4500" y="936"/>
                            <a:ext cx="0" cy="312"/>
                          </a:xfrm>
                          <a:prstGeom prst="line">
                            <a:avLst/>
                          </a:prstGeom>
                          <a:ln w="9525" cap="flat" cmpd="sng">
                            <a:solidFill>
                              <a:srgbClr val="000000"/>
                            </a:solidFill>
                            <a:prstDash val="solid"/>
                            <a:headEnd type="none" w="med" len="med"/>
                            <a:tailEnd type="none" w="med" len="med"/>
                          </a:ln>
                        </wps:spPr>
                        <wps:bodyPr/>
                      </wps:wsp>
                      <wps:wsp>
                        <wps:cNvPr id="37" name="直接连接符 37"/>
                        <wps:cNvCnPr/>
                        <wps:spPr>
                          <a:xfrm>
                            <a:off x="5760" y="936"/>
                            <a:ext cx="0" cy="312"/>
                          </a:xfrm>
                          <a:prstGeom prst="line">
                            <a:avLst/>
                          </a:prstGeom>
                          <a:ln w="9525" cap="flat" cmpd="sng">
                            <a:solidFill>
                              <a:srgbClr val="000000"/>
                            </a:solidFill>
                            <a:prstDash val="solid"/>
                            <a:headEnd type="none" w="med" len="med"/>
                            <a:tailEnd type="none" w="med" len="med"/>
                          </a:ln>
                        </wps:spPr>
                        <wps:bodyPr/>
                      </wps:wsp>
                      <wps:wsp>
                        <wps:cNvPr id="38" name="直接连接符 38"/>
                        <wps:cNvCnPr/>
                        <wps:spPr>
                          <a:xfrm>
                            <a:off x="1980" y="936"/>
                            <a:ext cx="0" cy="312"/>
                          </a:xfrm>
                          <a:prstGeom prst="line">
                            <a:avLst/>
                          </a:prstGeom>
                          <a:ln w="9525" cap="flat" cmpd="sng">
                            <a:solidFill>
                              <a:srgbClr val="000000"/>
                            </a:solidFill>
                            <a:prstDash val="solid"/>
                            <a:headEnd type="none" w="med" len="med"/>
                            <a:tailEnd type="none" w="med" len="med"/>
                          </a:ln>
                        </wps:spPr>
                        <wps:bodyPr/>
                      </wps:wsp>
                      <wps:wsp>
                        <wps:cNvPr id="39" name="直接连接符 39"/>
                        <wps:cNvCnPr/>
                        <wps:spPr>
                          <a:xfrm>
                            <a:off x="7095" y="936"/>
                            <a:ext cx="0" cy="312"/>
                          </a:xfrm>
                          <a:prstGeom prst="line">
                            <a:avLst/>
                          </a:prstGeom>
                          <a:ln w="9525" cap="flat" cmpd="sng">
                            <a:solidFill>
                              <a:srgbClr val="000000"/>
                            </a:solidFill>
                            <a:prstDash val="solid"/>
                            <a:headEnd type="none" w="med" len="med"/>
                            <a:tailEnd type="none" w="med" len="med"/>
                          </a:ln>
                        </wps:spPr>
                        <wps:bodyPr/>
                      </wps:wsp>
                      <wps:wsp>
                        <wps:cNvPr id="40" name="直接连接符 40"/>
                        <wps:cNvCnPr/>
                        <wps:spPr>
                          <a:xfrm>
                            <a:off x="3240" y="936"/>
                            <a:ext cx="0" cy="312"/>
                          </a:xfrm>
                          <a:prstGeom prst="line">
                            <a:avLst/>
                          </a:prstGeom>
                          <a:ln w="9525" cap="flat" cmpd="sng">
                            <a:solidFill>
                              <a:srgbClr val="000000"/>
                            </a:solidFill>
                            <a:prstDash val="solid"/>
                            <a:headEnd type="none" w="med" len="med"/>
                            <a:tailEnd type="none" w="med" len="med"/>
                          </a:ln>
                        </wps:spPr>
                        <wps:bodyPr/>
                      </wps:wsp>
                      <wps:wsp>
                        <wps:cNvPr id="41" name="直接连接符 41"/>
                        <wps:cNvCnPr/>
                        <wps:spPr>
                          <a:xfrm>
                            <a:off x="4500" y="589"/>
                            <a:ext cx="0" cy="503"/>
                          </a:xfrm>
                          <a:prstGeom prst="line">
                            <a:avLst/>
                          </a:prstGeom>
                          <a:ln w="9525"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298.7pt;width:398.85pt;" coordsize="9030,4992" o:gfxdata="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IOK&#10;0UHXAAAABQEAAA8AAAAAAAAAAQAgAAAAIgAAAGRycy9kb3ducmV2LnhtbFBLAQIUABQAAAAIAIdO&#10;4kDSX5BStAUAAHFAAAAOAAAAAAAAAAEAIAAAACYBAABkcnMvZTJvRG9jLnhtbFBLBQYAAAAABgAG&#10;AFkBAABMCQAAAAA=&#10;">
                <o:lock v:ext="edit" rotation="t" aspectratio="f"/>
                <v:group id="_x0000_s1026" o:spid="_x0000_s1026" o:spt="203" style="position:absolute;left:0;top:1248;height:3744;width:1260;" coordsize="1632,2652"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2;top:0;height:780;width:1620;" fillcolor="#C0C0C0" filled="t" stroked="t" coordsize="21600,21600" o:gfxdata="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JqGO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jc w:val="center"/>
                            <w:rPr>
                              <w:rFonts w:ascii="Calibri" w:hAnsi="Calibri" w:cs="Times New Roman"/>
                              <w:b/>
                              <w:bCs/>
                              <w:kern w:val="2"/>
                              <w:sz w:val="18"/>
                              <w:szCs w:val="18"/>
                            </w:rPr>
                          </w:pPr>
                          <w:r>
                            <w:rPr>
                              <w:rFonts w:hint="eastAsia" w:ascii="Calibri" w:hAnsi="Calibri" w:eastAsia="仿宋_GB2312" w:cs="仿宋_GB2312"/>
                              <w:b/>
                              <w:bCs/>
                              <w:kern w:val="2"/>
                              <w:sz w:val="18"/>
                              <w:szCs w:val="18"/>
                            </w:rPr>
                            <w:t>优质课程建设制度与标准</w:t>
                          </w:r>
                        </w:p>
                      </w:txbxContent>
                    </v:textbox>
                  </v:shape>
                  <v:shape id="_x0000_s1026" o:spid="_x0000_s1026" o:spt="202" type="#_x0000_t202" style="position:absolute;left:0;top:780;height:1872;width:1620;"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jc w:val="center"/>
                            <w:rPr>
                              <w:rFonts w:ascii="Calibri" w:hAnsi="Calibri" w:cs="Times New Roman"/>
                              <w:kern w:val="2"/>
                              <w:sz w:val="20"/>
                              <w:szCs w:val="20"/>
                            </w:rPr>
                          </w:pPr>
                          <w:r>
                            <w:rPr>
                              <w:rFonts w:hint="eastAsia" w:ascii="Calibri" w:hAnsi="Calibri" w:cs="Times New Roman"/>
                              <w:kern w:val="2"/>
                              <w:sz w:val="20"/>
                              <w:szCs w:val="20"/>
                            </w:rPr>
                            <w:t>包括教材建设、教学管理、教学实施效果等方面内容；</w:t>
                          </w:r>
                        </w:p>
                      </w:txbxContent>
                    </v:textbox>
                  </v:shape>
                </v:group>
                <v:group id="_x0000_s1026" o:spid="_x0000_s1026" o:spt="203" style="position:absolute;left:1290;top:1248;height:3744;width:1260;" coordsize="1632,2652"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12;top:0;height:780;width:1620;" fillcolor="#C0C0C0" filled="t" stroked="t" coordsize="21600,21600" o:gfxdata="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c8I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val="0"/>
                            <w:jc w:val="center"/>
                            <w:rPr>
                              <w:rFonts w:ascii="仿宋_GB2312" w:hAnsi="Calibri" w:eastAsia="仿宋_GB2312" w:cs="Times New Roman"/>
                              <w:b/>
                              <w:bCs/>
                              <w:kern w:val="2"/>
                              <w:sz w:val="22"/>
                              <w:szCs w:val="22"/>
                            </w:rPr>
                          </w:pPr>
                          <w:r>
                            <w:rPr>
                              <w:rFonts w:hint="eastAsia" w:ascii="仿宋_GB2312" w:hAnsi="Calibri" w:eastAsia="仿宋_GB2312" w:cs="仿宋_GB2312"/>
                              <w:b/>
                              <w:bCs/>
                              <w:kern w:val="2"/>
                              <w:sz w:val="18"/>
                              <w:szCs w:val="18"/>
                            </w:rPr>
                            <w:t>备课制度与标准</w:t>
                          </w:r>
                        </w:p>
                      </w:txbxContent>
                    </v:textbox>
                  </v:shape>
                  <v:shape id="_x0000_s1026" o:spid="_x0000_s1026" o:spt="202" type="#_x0000_t202" style="position:absolute;left:0;top:780;height:1872;width:1620;"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val="0"/>
                            <w:jc w:val="center"/>
                            <w:rPr>
                              <w:rFonts w:ascii="Calibri" w:hAnsi="Calibri" w:cs="Times New Roman"/>
                              <w:kern w:val="2"/>
                              <w:sz w:val="20"/>
                              <w:szCs w:val="20"/>
                            </w:rPr>
                          </w:pPr>
                          <w:r>
                            <w:rPr>
                              <w:rFonts w:hint="eastAsia" w:ascii="Calibri" w:hAnsi="Calibri" w:cs="Times New Roman"/>
                              <w:kern w:val="2"/>
                              <w:sz w:val="20"/>
                              <w:szCs w:val="20"/>
                            </w:rPr>
                            <w:t>包括教师教学进度表、教学内容安排、教学方法与手段、教案与集体备课等；</w:t>
                          </w:r>
                        </w:p>
                      </w:txbxContent>
                    </v:textbox>
                  </v:shape>
                </v:group>
                <v:group id="_x0000_s1026" o:spid="_x0000_s1026" o:spt="203" style="position:absolute;left:2595;top:1248;height:3744;width:1260;" coordsize="1632,265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12;top:0;height:780;width:1620;" fillcolor="#C0C0C0" filled="t" stroked="t" coordsize="21600,21600" o:gfxdata="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upFS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widowControl w:val="0"/>
                            <w:jc w:val="center"/>
                            <w:rPr>
                              <w:rFonts w:ascii="仿宋_GB2312" w:hAnsi="Calibri" w:eastAsia="仿宋_GB2312" w:cs="Times New Roman"/>
                              <w:b/>
                              <w:bCs/>
                              <w:kern w:val="2"/>
                              <w:sz w:val="18"/>
                              <w:szCs w:val="18"/>
                            </w:rPr>
                          </w:pPr>
                          <w:r>
                            <w:rPr>
                              <w:rFonts w:hint="eastAsia" w:ascii="仿宋_GB2312" w:hAnsi="Calibri" w:eastAsia="仿宋_GB2312" w:cs="仿宋_GB2312"/>
                              <w:b/>
                              <w:bCs/>
                              <w:kern w:val="2"/>
                              <w:sz w:val="18"/>
                              <w:szCs w:val="18"/>
                            </w:rPr>
                            <w:t>课堂教学质量制度与标准</w:t>
                          </w:r>
                        </w:p>
                      </w:txbxContent>
                    </v:textbox>
                  </v:shape>
                  <v:shape id="_x0000_s1026" o:spid="_x0000_s1026" o:spt="202" type="#_x0000_t202" style="position:absolute;left:0;top:780;height:1872;width:162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val="0"/>
                            <w:jc w:val="center"/>
                            <w:rPr>
                              <w:rFonts w:ascii="Calibri" w:hAnsi="Calibri" w:cs="Times New Roman"/>
                              <w:kern w:val="2"/>
                              <w:sz w:val="20"/>
                              <w:szCs w:val="20"/>
                            </w:rPr>
                          </w:pPr>
                          <w:r>
                            <w:rPr>
                              <w:rFonts w:hint="eastAsia" w:ascii="Calibri" w:hAnsi="Calibri" w:cs="Times New Roman"/>
                              <w:kern w:val="2"/>
                              <w:sz w:val="20"/>
                              <w:szCs w:val="20"/>
                            </w:rPr>
                            <w:t>包括教师的仪表仪态、教学内容、教学手段、课堂组织、教学效果督查等；</w:t>
                          </w:r>
                        </w:p>
                      </w:txbxContent>
                    </v:textbox>
                  </v:shape>
                </v:group>
                <v:group id="_x0000_s1026" o:spid="_x0000_s1026" o:spt="203" style="position:absolute;left:3885;top:1248;height:3744;width:1260;" coordsize="1632,2652"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2;top:0;height:780;width:1620;" fillcolor="#C0C0C0" filled="t" stroked="t" coordsize="21600,21600" o:gfxdata="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K/ad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pPr>
                            <w:widowControl w:val="0"/>
                            <w:jc w:val="center"/>
                            <w:rPr>
                              <w:rFonts w:ascii="仿宋_GB2312" w:hAnsi="Calibri" w:eastAsia="仿宋_GB2312" w:cs="Times New Roman"/>
                              <w:b/>
                              <w:bCs/>
                              <w:kern w:val="2"/>
                              <w:sz w:val="18"/>
                              <w:szCs w:val="18"/>
                            </w:rPr>
                          </w:pPr>
                          <w:r>
                            <w:rPr>
                              <w:rFonts w:hint="eastAsia" w:ascii="仿宋_GB2312" w:hAnsi="Calibri" w:eastAsia="仿宋_GB2312" w:cs="仿宋_GB2312"/>
                              <w:b/>
                              <w:bCs/>
                              <w:kern w:val="2"/>
                              <w:sz w:val="18"/>
                              <w:szCs w:val="18"/>
                            </w:rPr>
                            <w:t>课外作业与辅导制度与标准</w:t>
                          </w:r>
                        </w:p>
                      </w:txbxContent>
                    </v:textbox>
                  </v:shape>
                  <v:shape id="_x0000_s1026" o:spid="_x0000_s1026" o:spt="202" type="#_x0000_t202" style="position:absolute;left:0;top:780;height:1872;width:1620;"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val="0"/>
                            <w:jc w:val="center"/>
                            <w:rPr>
                              <w:rFonts w:ascii="Calibri" w:hAnsi="Calibri" w:cs="Times New Roman"/>
                              <w:kern w:val="2"/>
                              <w:sz w:val="20"/>
                              <w:szCs w:val="20"/>
                            </w:rPr>
                          </w:pPr>
                          <w:r>
                            <w:rPr>
                              <w:rFonts w:hint="eastAsia" w:ascii="Calibri" w:hAnsi="Calibri" w:cs="Times New Roman"/>
                              <w:kern w:val="2"/>
                              <w:sz w:val="20"/>
                              <w:szCs w:val="20"/>
                            </w:rPr>
                            <w:t>包括作业布置与批改、辅导答疑的方法与时间等；</w:t>
                          </w:r>
                        </w:p>
                      </w:txbxContent>
                    </v:textbox>
                  </v:shape>
                </v:group>
                <v:group id="_x0000_s1026" o:spid="_x0000_s1026" o:spt="203" style="position:absolute;left:5175;top:1248;height:3744;width:1260;" coordsize="1632,2652"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12;top:0;height:780;width:1620;" fillcolor="#C0C0C0" filled="t" stroked="t" coordsize="21600,21600" o:gfxdata="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5aO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jc w:val="center"/>
                            <w:rPr>
                              <w:rFonts w:ascii="仿宋_GB2312" w:hAnsi="Calibri" w:eastAsia="仿宋_GB2312" w:cs="Times New Roman"/>
                              <w:b/>
                              <w:bCs/>
                              <w:kern w:val="2"/>
                              <w:sz w:val="21"/>
                            </w:rPr>
                          </w:pPr>
                          <w:r>
                            <w:rPr>
                              <w:rFonts w:hint="eastAsia" w:ascii="仿宋_GB2312" w:hAnsi="Calibri" w:eastAsia="仿宋_GB2312" w:cs="仿宋_GB2312"/>
                              <w:b/>
                              <w:bCs/>
                              <w:kern w:val="2"/>
                              <w:sz w:val="18"/>
                              <w:szCs w:val="18"/>
                            </w:rPr>
                            <w:t>实践教学制度与标准</w:t>
                          </w:r>
                        </w:p>
                      </w:txbxContent>
                    </v:textbox>
                  </v:shape>
                  <v:shape id="_x0000_s1026" o:spid="_x0000_s1026" o:spt="202" type="#_x0000_t202" style="position:absolute;left:0;top:780;height:1872;width:1620;"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val="0"/>
                            <w:jc w:val="both"/>
                            <w:rPr>
                              <w:rFonts w:ascii="Calibri" w:hAnsi="Calibri" w:cs="Times New Roman"/>
                              <w:kern w:val="2"/>
                              <w:sz w:val="28"/>
                              <w:szCs w:val="28"/>
                            </w:rPr>
                          </w:pPr>
                          <w:r>
                            <w:rPr>
                              <w:rFonts w:hint="eastAsia" w:ascii="Calibri" w:hAnsi="Calibri" w:cs="Times New Roman"/>
                              <w:kern w:val="2"/>
                              <w:sz w:val="20"/>
                              <w:szCs w:val="20"/>
                            </w:rPr>
                            <w:t>包括课程实习、合作教育的内容要求、时间安排、方式选择、单位落实等；</w:t>
                          </w:r>
                        </w:p>
                      </w:txbxContent>
                    </v:textbox>
                  </v:shape>
                </v:group>
                <v:group id="_x0000_s1026" o:spid="_x0000_s1026" o:spt="203" style="position:absolute;left:6480;top:1248;height:3744;width:1260;" coordsize="1632,2652"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12;top:0;height:780;width:1620;" fillcolor="#C0C0C0" filled="t" stroked="t" coordsize="21600,21600" o:gfxdata="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Oy3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jc w:val="center"/>
                            <w:rPr>
                              <w:rFonts w:ascii="仿宋_GB2312" w:hAnsi="Calibri" w:eastAsia="仿宋_GB2312" w:cs="Times New Roman"/>
                              <w:b/>
                              <w:bCs/>
                              <w:kern w:val="2"/>
                              <w:sz w:val="28"/>
                              <w:szCs w:val="28"/>
                            </w:rPr>
                          </w:pPr>
                          <w:r>
                            <w:rPr>
                              <w:rFonts w:hint="eastAsia" w:ascii="仿宋_GB2312" w:hAnsi="Calibri" w:eastAsia="仿宋_GB2312" w:cs="仿宋_GB2312"/>
                              <w:b/>
                              <w:bCs/>
                              <w:kern w:val="2"/>
                              <w:sz w:val="20"/>
                              <w:szCs w:val="20"/>
                            </w:rPr>
                            <w:t>考试制度与标准</w:t>
                          </w:r>
                        </w:p>
                      </w:txbxContent>
                    </v:textbox>
                  </v:shape>
                  <v:shape id="_x0000_s1026" o:spid="_x0000_s1026" o:spt="202" type="#_x0000_t202" style="position:absolute;left:0;top:780;height:1872;width:1620;"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val="0"/>
                            <w:jc w:val="both"/>
                            <w:rPr>
                              <w:rFonts w:ascii="Calibri" w:hAnsi="Calibri" w:cs="Times New Roman"/>
                              <w:kern w:val="2"/>
                              <w:sz w:val="28"/>
                              <w:szCs w:val="28"/>
                            </w:rPr>
                          </w:pPr>
                          <w:r>
                            <w:rPr>
                              <w:rFonts w:hint="eastAsia" w:ascii="Calibri" w:hAnsi="Calibri" w:cs="Times New Roman"/>
                              <w:kern w:val="2"/>
                              <w:sz w:val="20"/>
                              <w:szCs w:val="20"/>
                            </w:rPr>
                            <w:t>包括课程考试试卷的审核、题库建设、监考、阅卷、试卷分析、成绩登记等；</w:t>
                          </w:r>
                        </w:p>
                      </w:txbxContent>
                    </v:textbox>
                  </v:shape>
                </v:group>
                <v:group id="_x0000_s1026" o:spid="_x0000_s1026" o:spt="203" style="position:absolute;left:7770;top:1248;height:3744;width:1260;" coordsize="1632,2652"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2;top:0;height:780;width:1620;" fillcolor="#C0C0C0" filled="t" stroked="t" coordsize="21600,21600" o:gfxdata="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EV8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jc w:val="center"/>
                            <w:rPr>
                              <w:rFonts w:ascii="仿宋_GB2312" w:hAnsi="Calibri" w:eastAsia="仿宋_GB2312" w:cs="Times New Roman"/>
                              <w:b/>
                              <w:bCs/>
                              <w:kern w:val="2"/>
                              <w:sz w:val="21"/>
                            </w:rPr>
                          </w:pPr>
                          <w:r>
                            <w:rPr>
                              <w:rFonts w:hint="eastAsia" w:ascii="仿宋_GB2312" w:hAnsi="Calibri" w:eastAsia="仿宋_GB2312" w:cs="仿宋_GB2312"/>
                              <w:b/>
                              <w:bCs/>
                              <w:kern w:val="2"/>
                              <w:sz w:val="18"/>
                              <w:szCs w:val="18"/>
                            </w:rPr>
                            <w:t>毕业论文制度与标准</w:t>
                          </w:r>
                        </w:p>
                      </w:txbxContent>
                    </v:textbox>
                  </v:shape>
                  <v:shape id="_x0000_s1026" o:spid="_x0000_s1026" o:spt="202" type="#_x0000_t202" style="position:absolute;left:0;top:780;height:1872;width:1620;"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val="0"/>
                            <w:jc w:val="center"/>
                            <w:rPr>
                              <w:rFonts w:ascii="Calibri" w:hAnsi="Calibri" w:cs="Times New Roman"/>
                              <w:kern w:val="2"/>
                              <w:sz w:val="20"/>
                              <w:szCs w:val="20"/>
                            </w:rPr>
                          </w:pPr>
                          <w:r>
                            <w:rPr>
                              <w:rFonts w:hint="eastAsia" w:ascii="Calibri" w:hAnsi="Calibri" w:cs="Times New Roman"/>
                              <w:kern w:val="2"/>
                              <w:sz w:val="20"/>
                              <w:szCs w:val="20"/>
                            </w:rPr>
                            <w:t>包括论文立题表、论文答辩以及成绩评定等</w:t>
                          </w:r>
                        </w:p>
                      </w:txbxContent>
                    </v:textbox>
                  </v:shape>
                </v:group>
                <v:shape id="_x0000_s1026" o:spid="_x0000_s1026" o:spt="202" type="#_x0000_t202" style="position:absolute;left:2517;top:0;height:589;width:4320;" fillcolor="#C0C0C0" filled="t" stroked="t" coordsize="21600,21600" o:gfxdata="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sW6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jc w:val="center"/>
                          <w:rPr>
                            <w:rFonts w:ascii="Calibri" w:hAnsi="Calibri" w:cs="Times New Roman"/>
                            <w:b/>
                            <w:bCs/>
                            <w:kern w:val="2"/>
                            <w:sz w:val="21"/>
                          </w:rPr>
                        </w:pPr>
                        <w:r>
                          <w:rPr>
                            <w:rFonts w:hint="eastAsia" w:ascii="Calibri" w:hAnsi="Calibri" w:eastAsia="仿宋_GB2312" w:cs="仿宋_GB2312"/>
                            <w:b/>
                            <w:bCs/>
                            <w:kern w:val="2"/>
                            <w:sz w:val="21"/>
                          </w:rPr>
                          <w:t>主要教学环节制度</w:t>
                        </w:r>
                      </w:p>
                    </w:txbxContent>
                  </v:textbox>
                </v:shape>
                <v:line id="_x0000_s1026" o:spid="_x0000_s1026" o:spt="20" style="position:absolute;left:720;top:936;height:0;width:7740;"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20;top:936;height:312;width:0;"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460;top:936;height:312;width: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4500;top:936;height:312;width:0;"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760;top:936;height:312;width:0;"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980;top:936;height:312;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7095;top:936;height:312;width: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3240;top:936;height:312;width:0;" filled="f" stroked="t"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4500;top:589;height:503;width: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pStyle w:val="27"/>
        <w:tabs>
          <w:tab w:val="left" w:pos="681"/>
        </w:tabs>
        <w:snapToGrid w:val="0"/>
        <w:spacing w:before="0" w:beforeAutospacing="0" w:after="0" w:afterAutospacing="0" w:line="360" w:lineRule="auto"/>
        <w:jc w:val="center"/>
        <w:rPr>
          <w:rFonts w:cs="Times New Roman"/>
          <w:kern w:val="2"/>
        </w:rPr>
      </w:pPr>
      <w:r>
        <w:rPr>
          <w:rFonts w:hint="eastAsia" w:cs="Times New Roman"/>
          <w:kern w:val="2"/>
        </w:rPr>
        <w:t>图</w:t>
      </w:r>
      <w:r>
        <w:rPr>
          <w:rFonts w:cs="Times New Roman"/>
          <w:kern w:val="2"/>
        </w:rPr>
        <w:t>6-</w:t>
      </w:r>
      <w:r>
        <w:rPr>
          <w:rFonts w:hint="eastAsia" w:cs="Times New Roman"/>
          <w:kern w:val="2"/>
        </w:rPr>
        <w:t>2 东方管理专业主要教学环节制度</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pStyle w:val="27"/>
              <w:tabs>
                <w:tab w:val="left" w:pos="681"/>
              </w:tabs>
              <w:snapToGrid w:val="0"/>
              <w:spacing w:before="0" w:beforeAutospacing="0" w:after="0" w:afterAutospacing="0" w:line="360" w:lineRule="auto"/>
              <w:jc w:val="center"/>
              <w:rPr>
                <w:rFonts w:cs="Times New Roman"/>
                <w:kern w:val="2"/>
                <w:sz w:val="18"/>
                <w:szCs w:val="18"/>
              </w:rPr>
            </w:pPr>
            <w:r>
              <w:drawing>
                <wp:inline distT="0" distB="0" distL="114300" distR="114300">
                  <wp:extent cx="2495550" cy="2495550"/>
                  <wp:effectExtent l="0" t="0" r="19050" b="1905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6"/>
                          <a:stretch>
                            <a:fillRect/>
                          </a:stretch>
                        </pic:blipFill>
                        <pic:spPr>
                          <a:xfrm>
                            <a:off x="0" y="0"/>
                            <a:ext cx="2495550" cy="2495550"/>
                          </a:xfrm>
                          <a:prstGeom prst="rect">
                            <a:avLst/>
                          </a:prstGeom>
                          <a:noFill/>
                          <a:ln>
                            <a:noFill/>
                          </a:ln>
                        </pic:spPr>
                      </pic:pic>
                    </a:graphicData>
                  </a:graphic>
                </wp:inline>
              </w:drawing>
            </w:r>
          </w:p>
        </w:tc>
        <w:tc>
          <w:tcPr>
            <w:tcW w:w="4261" w:type="dxa"/>
          </w:tcPr>
          <w:p>
            <w:pPr>
              <w:pStyle w:val="27"/>
              <w:tabs>
                <w:tab w:val="left" w:pos="681"/>
              </w:tabs>
              <w:snapToGrid w:val="0"/>
              <w:spacing w:before="0" w:beforeAutospacing="0" w:after="0" w:afterAutospacing="0" w:line="360" w:lineRule="auto"/>
              <w:jc w:val="center"/>
              <w:rPr>
                <w:rFonts w:cs="Times New Roman"/>
                <w:kern w:val="2"/>
                <w:sz w:val="18"/>
                <w:szCs w:val="18"/>
              </w:rPr>
            </w:pPr>
            <w:r>
              <w:drawing>
                <wp:inline distT="0" distB="0" distL="114300" distR="114300">
                  <wp:extent cx="2505710" cy="2505710"/>
                  <wp:effectExtent l="0" t="0" r="8890" b="889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7"/>
                          <a:stretch>
                            <a:fillRect/>
                          </a:stretch>
                        </pic:blipFill>
                        <pic:spPr>
                          <a:xfrm>
                            <a:off x="0" y="0"/>
                            <a:ext cx="2505710" cy="25057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pStyle w:val="27"/>
              <w:tabs>
                <w:tab w:val="left" w:pos="681"/>
              </w:tabs>
              <w:snapToGrid w:val="0"/>
              <w:spacing w:before="0" w:beforeAutospacing="0" w:after="0" w:afterAutospacing="0" w:line="360" w:lineRule="auto"/>
              <w:jc w:val="center"/>
            </w:pPr>
            <w:r>
              <w:drawing>
                <wp:inline distT="0" distB="0" distL="114300" distR="114300">
                  <wp:extent cx="2430145" cy="3450590"/>
                  <wp:effectExtent l="0" t="0" r="8255" b="381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8"/>
                          <a:stretch>
                            <a:fillRect/>
                          </a:stretch>
                        </pic:blipFill>
                        <pic:spPr>
                          <a:xfrm>
                            <a:off x="0" y="0"/>
                            <a:ext cx="2430145" cy="3450590"/>
                          </a:xfrm>
                          <a:prstGeom prst="rect">
                            <a:avLst/>
                          </a:prstGeom>
                          <a:noFill/>
                          <a:ln>
                            <a:noFill/>
                          </a:ln>
                        </pic:spPr>
                      </pic:pic>
                    </a:graphicData>
                  </a:graphic>
                </wp:inline>
              </w:drawing>
            </w:r>
          </w:p>
        </w:tc>
        <w:tc>
          <w:tcPr>
            <w:tcW w:w="4261" w:type="dxa"/>
          </w:tcPr>
          <w:p>
            <w:pPr>
              <w:pStyle w:val="27"/>
              <w:tabs>
                <w:tab w:val="left" w:pos="681"/>
              </w:tabs>
              <w:snapToGrid w:val="0"/>
              <w:spacing w:before="0" w:beforeAutospacing="0" w:after="0" w:afterAutospacing="0" w:line="360" w:lineRule="auto"/>
              <w:jc w:val="center"/>
            </w:pPr>
            <w:r>
              <w:drawing>
                <wp:inline distT="0" distB="0" distL="114300" distR="114300">
                  <wp:extent cx="2432685" cy="3448050"/>
                  <wp:effectExtent l="0" t="0" r="5715" b="635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19"/>
                          <a:stretch>
                            <a:fillRect/>
                          </a:stretch>
                        </pic:blipFill>
                        <pic:spPr>
                          <a:xfrm>
                            <a:off x="0" y="0"/>
                            <a:ext cx="2432685" cy="3448050"/>
                          </a:xfrm>
                          <a:prstGeom prst="rect">
                            <a:avLst/>
                          </a:prstGeom>
                          <a:noFill/>
                          <a:ln>
                            <a:noFill/>
                          </a:ln>
                        </pic:spPr>
                      </pic:pic>
                    </a:graphicData>
                  </a:graphic>
                </wp:inline>
              </w:drawing>
            </w:r>
          </w:p>
        </w:tc>
      </w:tr>
    </w:tbl>
    <w:p>
      <w:pPr>
        <w:jc w:val="center"/>
      </w:pPr>
      <w:bookmarkStart w:id="80" w:name="_Toc155617899"/>
      <w:r>
        <w:rPr>
          <w:rFonts w:hint="eastAsia"/>
        </w:rPr>
        <w:t>图</w:t>
      </w:r>
      <w:r>
        <w:t>6-3</w:t>
      </w:r>
      <w:r>
        <w:rPr>
          <w:rFonts w:hint="eastAsia"/>
        </w:rPr>
        <w:t>：2</w:t>
      </w:r>
      <w:r>
        <w:t>023</w:t>
      </w:r>
      <w:r>
        <w:rPr>
          <w:rFonts w:hint="eastAsia"/>
        </w:rPr>
        <w:t>年度师生座谈会</w:t>
      </w:r>
    </w:p>
    <w:p>
      <w:pPr>
        <w:pStyle w:val="4"/>
        <w:snapToGrid w:val="0"/>
        <w:spacing w:line="415" w:lineRule="auto"/>
        <w:rPr>
          <w:rFonts w:ascii="宋体" w:hAnsi="宋体" w:eastAsia="宋体"/>
          <w:b w:val="0"/>
          <w:bCs w:val="0"/>
          <w:sz w:val="24"/>
          <w:szCs w:val="24"/>
        </w:rPr>
      </w:pPr>
      <w:r>
        <w:rPr>
          <w:rFonts w:ascii="宋体" w:hAnsi="宋体" w:eastAsia="宋体"/>
          <w:b w:val="0"/>
          <w:bCs w:val="0"/>
          <w:sz w:val="24"/>
          <w:szCs w:val="24"/>
        </w:rPr>
        <w:t>6.2</w:t>
      </w:r>
      <w:r>
        <w:rPr>
          <w:rFonts w:hint="eastAsia" w:ascii="宋体" w:hAnsi="宋体" w:eastAsia="宋体"/>
          <w:b w:val="0"/>
          <w:bCs w:val="0"/>
          <w:sz w:val="24"/>
          <w:szCs w:val="24"/>
        </w:rPr>
        <w:t>质量监控制度及实施办法</w:t>
      </w:r>
      <w:bookmarkEnd w:id="80"/>
    </w:p>
    <w:p>
      <w:pPr>
        <w:snapToGrid w:val="0"/>
        <w:spacing w:line="360" w:lineRule="auto"/>
        <w:ind w:firstLine="480" w:firstLineChars="200"/>
        <w:jc w:val="both"/>
      </w:pPr>
      <w:r>
        <w:rPr>
          <w:rFonts w:hint="eastAsia"/>
        </w:rPr>
        <w:t>包括课堂教学评价，例如督导听课、领导听课、同行听课、学生评教等情况，试卷及教学资料检查情况、教师学生座谈会情况、教学质量月活动、学生学习与就业满意度调查等。</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2023年5月22日专业召开师生座谈会。4月7日邀请教学竞赛经验丰富的退休资深教授陈心德教授和董川远教授对全系老师进行教学辅导，活跃教学能力，提升老师教学水平。</w:t>
      </w:r>
    </w:p>
    <w:p>
      <w:pPr>
        <w:snapToGrid w:val="0"/>
        <w:spacing w:line="360" w:lineRule="auto"/>
        <w:ind w:firstLine="480" w:firstLineChars="200"/>
        <w:rPr>
          <w:color w:val="FF0000"/>
        </w:rPr>
      </w:pPr>
      <w:r>
        <w:drawing>
          <wp:inline distT="0" distB="0" distL="114300" distR="114300">
            <wp:extent cx="4562475" cy="2343150"/>
            <wp:effectExtent l="0" t="0" r="9525" b="1905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20"/>
                    <a:stretch>
                      <a:fillRect/>
                    </a:stretch>
                  </pic:blipFill>
                  <pic:spPr>
                    <a:xfrm>
                      <a:off x="0" y="0"/>
                      <a:ext cx="4562475" cy="2343150"/>
                    </a:xfrm>
                    <a:prstGeom prst="rect">
                      <a:avLst/>
                    </a:prstGeom>
                    <a:noFill/>
                    <a:ln>
                      <a:noFill/>
                    </a:ln>
                  </pic:spPr>
                </pic:pic>
              </a:graphicData>
            </a:graphic>
          </wp:inline>
        </w:drawing>
      </w:r>
    </w:p>
    <w:p>
      <w:pPr>
        <w:snapToGrid w:val="0"/>
        <w:spacing w:line="360" w:lineRule="auto"/>
        <w:jc w:val="center"/>
      </w:pPr>
      <w:r>
        <w:rPr>
          <w:rFonts w:hint="eastAsia"/>
        </w:rPr>
        <w:t>图6</w:t>
      </w:r>
      <w:r>
        <w:t>-4</w:t>
      </w:r>
      <w:r>
        <w:rPr>
          <w:rFonts w:hint="eastAsia"/>
        </w:rPr>
        <w:t>：2</w:t>
      </w:r>
      <w:r>
        <w:t>023</w:t>
      </w:r>
      <w:r>
        <w:rPr>
          <w:rFonts w:hint="eastAsia"/>
        </w:rPr>
        <w:t>年教学质量月工商系老教师教学辅导活动</w:t>
      </w:r>
    </w:p>
    <w:p>
      <w:pPr>
        <w:snapToGrid w:val="0"/>
        <w:spacing w:line="360" w:lineRule="auto"/>
        <w:ind w:firstLine="480" w:firstLineChars="200"/>
        <w:jc w:val="both"/>
      </w:pPr>
      <w:r>
        <w:rPr>
          <w:rFonts w:hint="eastAsia"/>
        </w:rPr>
        <w:t>本专业一直以来严格执行教学计划，总体教学效果良好。严格执行学校、学院规定的主讲教师岗位资格标准、新教师岗前培训制度。对主讲教师岗位资格严格审查把关；对第一次上课教师，要求试讲，备课量不少于该课程的80%。</w:t>
      </w:r>
    </w:p>
    <w:p>
      <w:pPr>
        <w:snapToGrid w:val="0"/>
        <w:spacing w:line="360" w:lineRule="auto"/>
        <w:ind w:firstLine="480" w:firstLineChars="200"/>
        <w:jc w:val="both"/>
      </w:pPr>
      <w:r>
        <w:rPr>
          <w:rFonts w:hint="eastAsia"/>
        </w:rPr>
        <w:t>建立有效的监督机制（督导、院领导、同行、学生评价体系、师生座谈会、毕业生评价意见）。完善教研室主任、教师之间的相互听课制度、青年教师导师制度、教师集体备课制度、学生评价体系、师生座谈会、毕业生评价意见等。教研室每周一次例会，对专业教学的疑点、难点及时发现及时解决，对教师教学过程中出现的问题，及时分析及时解决，保证教学质量。近年来，本专业专任教师，学校督导组听课优良率达到95%。</w:t>
      </w:r>
    </w:p>
    <w:p>
      <w:pPr>
        <w:snapToGrid w:val="0"/>
        <w:spacing w:line="360" w:lineRule="auto"/>
        <w:ind w:firstLine="480" w:firstLineChars="200"/>
        <w:jc w:val="both"/>
      </w:pPr>
      <w:r>
        <w:rPr>
          <w:rFonts w:hint="eastAsia"/>
        </w:rPr>
        <w:t>由管理学院领导、国内顶尖高校联盟教授、东方管理专业骨干教师共同参与，负责根据学校的整体规划和有关要求，结合本学院自身的特点，制定东方管理专业建设规划、组织规划实施、监控规划执行情况。</w:t>
      </w:r>
    </w:p>
    <w:p>
      <w:pPr>
        <w:pStyle w:val="4"/>
        <w:snapToGrid w:val="0"/>
        <w:rPr>
          <w:rFonts w:ascii="宋体" w:hAnsi="宋体" w:eastAsia="宋体"/>
          <w:b w:val="0"/>
          <w:bCs w:val="0"/>
          <w:sz w:val="24"/>
          <w:szCs w:val="24"/>
        </w:rPr>
      </w:pPr>
      <w:bookmarkStart w:id="81" w:name="_Toc155617900"/>
      <w:r>
        <w:rPr>
          <w:rFonts w:ascii="宋体" w:hAnsi="宋体" w:eastAsia="宋体"/>
          <w:b w:val="0"/>
          <w:bCs w:val="0"/>
          <w:sz w:val="24"/>
          <w:szCs w:val="24"/>
        </w:rPr>
        <w:t>6.3</w:t>
      </w:r>
      <w:r>
        <w:rPr>
          <w:rFonts w:hint="eastAsia" w:ascii="宋体" w:hAnsi="宋体" w:eastAsia="宋体"/>
          <w:b w:val="0"/>
          <w:bCs w:val="0"/>
          <w:sz w:val="24"/>
          <w:szCs w:val="24"/>
        </w:rPr>
        <w:t>质量评估反馈及持续改进</w:t>
      </w:r>
      <w:bookmarkEnd w:id="81"/>
      <w:r>
        <w:rPr>
          <w:rFonts w:hint="eastAsia" w:ascii="宋体" w:hAnsi="宋体" w:eastAsia="宋体"/>
          <w:b w:val="0"/>
          <w:bCs w:val="0"/>
          <w:sz w:val="24"/>
          <w:szCs w:val="24"/>
        </w:rPr>
        <w:t xml:space="preserve"> </w:t>
      </w:r>
    </w:p>
    <w:p>
      <w:pPr>
        <w:snapToGrid w:val="0"/>
        <w:spacing w:line="360" w:lineRule="auto"/>
        <w:ind w:firstLine="480" w:firstLineChars="200"/>
        <w:jc w:val="both"/>
      </w:pPr>
      <w:r>
        <w:rPr>
          <w:rFonts w:hint="eastAsia"/>
        </w:rPr>
        <w:t>教师根据教学效果分析，对授课的改进情况；专业针对督导反馈、师生反馈的改进情况；毕业要求和培养目标的达成情况分析；毕业生调研等。</w:t>
      </w:r>
    </w:p>
    <w:p>
      <w:pPr>
        <w:snapToGrid w:val="0"/>
        <w:spacing w:line="360" w:lineRule="auto"/>
        <w:ind w:firstLine="480" w:firstLineChars="200"/>
        <w:jc w:val="both"/>
      </w:pPr>
      <w:r>
        <w:rPr>
          <w:rFonts w:hint="eastAsia"/>
        </w:rPr>
        <w:t>开展培养质量跟踪调查和外部评价。毕业生在课程学习、实践实习、竞赛、考证、海外交流、毕业论文设计、升学、就业等环节表现良好。从外部评价看，同行专家、雇主单位、社会媒体、学生家长、等相关主体给予本校毕业生高度评价，在绩效、收入、职业生涯成长等方面表现良好。</w:t>
      </w:r>
    </w:p>
    <w:p>
      <w:pPr>
        <w:snapToGrid w:val="0"/>
        <w:spacing w:line="360" w:lineRule="auto"/>
        <w:ind w:firstLine="480" w:firstLineChars="200"/>
        <w:jc w:val="both"/>
      </w:pPr>
      <w:r>
        <w:rPr>
          <w:rFonts w:hint="eastAsia"/>
        </w:rPr>
        <w:t>培养方案公开化。由外校、本校以及管理学院和社会科学学院教授、东方管理专业教师共同参与，负责课程体系、教学内容建设，培养方案的制定、调整和实施等工作。</w:t>
      </w:r>
    </w:p>
    <w:p>
      <w:pPr>
        <w:snapToGrid w:val="0"/>
        <w:spacing w:line="360" w:lineRule="auto"/>
        <w:ind w:firstLine="480" w:firstLineChars="200"/>
        <w:jc w:val="both"/>
      </w:pPr>
      <w:r>
        <w:rPr>
          <w:rFonts w:hint="eastAsia"/>
        </w:rPr>
        <w:t>教学效果评估。通过了2013年上海市新专业评估、2015年专业合格性评估</w:t>
      </w:r>
      <w:r>
        <w:rPr>
          <w:rFonts w:hint="eastAsia"/>
          <w:color w:val="000000" w:themeColor="text1"/>
          <w14:textFill>
            <w14:solidFill>
              <w14:schemeClr w14:val="tx1"/>
            </w14:solidFill>
          </w14:textFill>
        </w:rPr>
        <w:t>以及在学校的2016年、2023年教育部审核评估，本专业在人才培养方面获专家</w:t>
      </w:r>
      <w:r>
        <w:rPr>
          <w:rFonts w:hint="eastAsia"/>
        </w:rPr>
        <w:t>好评。在学院层面由本专业教师、学校督导组、学生代表组成，进行本专业教学工作效果的常态性评估评价，形成了目标明确、教师敬业、教学方法多元的特色专业。</w:t>
      </w:r>
    </w:p>
    <w:p>
      <w:pPr>
        <w:pStyle w:val="4"/>
        <w:rPr>
          <w:rFonts w:ascii="宋体" w:hAnsi="宋体" w:eastAsia="宋体"/>
          <w:b w:val="0"/>
          <w:bCs w:val="0"/>
          <w:color w:val="000000" w:themeColor="text1"/>
          <w:sz w:val="24"/>
          <w:szCs w:val="24"/>
          <w14:textFill>
            <w14:solidFill>
              <w14:schemeClr w14:val="tx1"/>
            </w14:solidFill>
          </w14:textFill>
        </w:rPr>
      </w:pPr>
      <w:bookmarkStart w:id="82" w:name="_Toc155617901"/>
      <w:r>
        <w:rPr>
          <w:rFonts w:ascii="宋体" w:hAnsi="宋体" w:eastAsia="宋体"/>
          <w:b w:val="0"/>
          <w:bCs w:val="0"/>
          <w:color w:val="000000" w:themeColor="text1"/>
          <w:sz w:val="24"/>
          <w:szCs w:val="24"/>
          <w14:textFill>
            <w14:solidFill>
              <w14:schemeClr w14:val="tx1"/>
            </w14:solidFill>
          </w14:textFill>
        </w:rPr>
        <w:t>6.4</w:t>
      </w:r>
      <w:r>
        <w:rPr>
          <w:rFonts w:hint="eastAsia" w:ascii="宋体" w:hAnsi="宋体" w:eastAsia="宋体"/>
          <w:b w:val="0"/>
          <w:bCs w:val="0"/>
          <w:color w:val="000000" w:themeColor="text1"/>
          <w:sz w:val="24"/>
          <w:szCs w:val="24"/>
          <w14:textFill>
            <w14:solidFill>
              <w14:schemeClr w14:val="tx1"/>
            </w14:solidFill>
          </w14:textFill>
        </w:rPr>
        <w:t>在校生与毕业生满意度</w:t>
      </w:r>
      <w:bookmarkEnd w:id="82"/>
      <w:r>
        <w:rPr>
          <w:rFonts w:hint="eastAsia" w:ascii="宋体" w:hAnsi="宋体" w:eastAsia="宋体"/>
          <w:b w:val="0"/>
          <w:bCs w:val="0"/>
          <w:color w:val="000000" w:themeColor="text1"/>
          <w:sz w:val="24"/>
          <w:szCs w:val="24"/>
          <w14:textFill>
            <w14:solidFill>
              <w14:schemeClr w14:val="tx1"/>
            </w14:solidFill>
          </w14:textFill>
        </w:rPr>
        <w:t xml:space="preserve"> </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本专业学生对教师授课质量评价较高，近三年学生网上评教平均优良率&gt;85%。毕业生代表对本专业的培养效果给予了高度认可。</w:t>
      </w:r>
    </w:p>
    <w:p>
      <w:pPr>
        <w:snapToGrid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通过长期跟踪企业需求及毕业生的问卷反馈中了解到，31.91%的受访毕业生表示对本专业“非常满意”，45.74%的受访毕业生表示对本专业“比较满意”，积极评价合计占77.65%。</w:t>
      </w:r>
    </w:p>
    <w:p>
      <w:pPr>
        <w:pStyle w:val="3"/>
        <w:spacing w:after="120" w:line="415" w:lineRule="auto"/>
        <w:jc w:val="left"/>
        <w:rPr>
          <w:rFonts w:ascii="宋体" w:hAnsi="宋体"/>
          <w:b w:val="0"/>
          <w:bCs w:val="0"/>
          <w:sz w:val="28"/>
          <w:szCs w:val="28"/>
        </w:rPr>
      </w:pPr>
      <w:bookmarkStart w:id="83" w:name="_Toc155617902"/>
      <w:r>
        <w:rPr>
          <w:rFonts w:ascii="宋体" w:hAnsi="宋体"/>
          <w:b w:val="0"/>
          <w:bCs w:val="0"/>
          <w:sz w:val="28"/>
          <w:szCs w:val="28"/>
        </w:rPr>
        <w:t>7.</w:t>
      </w:r>
      <w:r>
        <w:rPr>
          <w:rFonts w:hint="eastAsia" w:ascii="宋体" w:hAnsi="宋体"/>
          <w:b w:val="0"/>
          <w:bCs w:val="0"/>
          <w:sz w:val="28"/>
          <w:szCs w:val="28"/>
        </w:rPr>
        <w:t>学生发展</w:t>
      </w:r>
      <w:bookmarkEnd w:id="83"/>
    </w:p>
    <w:p>
      <w:pPr>
        <w:pStyle w:val="4"/>
        <w:rPr>
          <w:rFonts w:ascii="宋体" w:hAnsi="宋体" w:eastAsia="宋体"/>
          <w:b w:val="0"/>
          <w:bCs w:val="0"/>
          <w:sz w:val="24"/>
          <w:szCs w:val="24"/>
        </w:rPr>
      </w:pPr>
      <w:bookmarkStart w:id="84" w:name="_TOC_250024"/>
      <w:bookmarkEnd w:id="84"/>
      <w:bookmarkStart w:id="85" w:name="_Toc155617903"/>
      <w:r>
        <w:rPr>
          <w:rFonts w:ascii="宋体" w:hAnsi="宋体" w:eastAsia="宋体"/>
          <w:b w:val="0"/>
          <w:bCs w:val="0"/>
          <w:sz w:val="24"/>
          <w:szCs w:val="24"/>
        </w:rPr>
        <w:t>7.1</w:t>
      </w:r>
      <w:r>
        <w:rPr>
          <w:rFonts w:hint="eastAsia" w:ascii="宋体" w:hAnsi="宋体" w:eastAsia="宋体"/>
          <w:b w:val="0"/>
          <w:bCs w:val="0"/>
          <w:sz w:val="24"/>
          <w:szCs w:val="24"/>
        </w:rPr>
        <w:t>本科在校生数量基本情况</w:t>
      </w:r>
      <w:bookmarkEnd w:id="85"/>
      <w:r>
        <w:rPr>
          <w:rFonts w:hint="eastAsia" w:ascii="宋体" w:hAnsi="宋体" w:eastAsia="宋体"/>
          <w:b w:val="0"/>
          <w:bCs w:val="0"/>
          <w:sz w:val="24"/>
          <w:szCs w:val="24"/>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项目</w:t>
            </w:r>
          </w:p>
        </w:tc>
        <w:tc>
          <w:tcPr>
            <w:tcW w:w="4148" w:type="dxa"/>
            <w:vAlign w:val="center"/>
          </w:tcPr>
          <w:p>
            <w:pPr>
              <w:jc w:val="center"/>
              <w:rPr>
                <w:sz w:val="21"/>
                <w:szCs w:val="21"/>
              </w:rPr>
            </w:pPr>
            <w:r>
              <w:rPr>
                <w:rFonts w:hint="eastAsia"/>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本科生数</w:t>
            </w:r>
          </w:p>
        </w:tc>
        <w:tc>
          <w:tcPr>
            <w:tcW w:w="4148" w:type="dxa"/>
            <w:vAlign w:val="center"/>
          </w:tcPr>
          <w:p>
            <w:pPr>
              <w:jc w:val="center"/>
              <w:rPr>
                <w:sz w:val="21"/>
                <w:szCs w:val="21"/>
              </w:rPr>
            </w:pPr>
            <w:r>
              <w:rPr>
                <w:sz w:val="21"/>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其中：留学生</w:t>
            </w:r>
          </w:p>
        </w:tc>
        <w:tc>
          <w:tcPr>
            <w:tcW w:w="4148"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港澳台侨学生</w:t>
            </w:r>
          </w:p>
        </w:tc>
        <w:tc>
          <w:tcPr>
            <w:tcW w:w="4148" w:type="dxa"/>
            <w:vAlign w:val="center"/>
          </w:tcPr>
          <w:p>
            <w:pPr>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其中：一年级</w:t>
            </w:r>
          </w:p>
        </w:tc>
        <w:tc>
          <w:tcPr>
            <w:tcW w:w="4148" w:type="dxa"/>
            <w:vAlign w:val="center"/>
          </w:tcPr>
          <w:p>
            <w:pPr>
              <w:jc w:val="center"/>
              <w:rPr>
                <w:sz w:val="21"/>
                <w:szCs w:val="21"/>
              </w:rPr>
            </w:pPr>
            <w:r>
              <w:rPr>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二年级</w:t>
            </w:r>
          </w:p>
        </w:tc>
        <w:tc>
          <w:tcPr>
            <w:tcW w:w="4148" w:type="dxa"/>
            <w:vAlign w:val="center"/>
          </w:tcPr>
          <w:p>
            <w:pPr>
              <w:jc w:val="center"/>
              <w:rPr>
                <w:sz w:val="21"/>
                <w:szCs w:val="21"/>
              </w:rPr>
            </w:pPr>
            <w:r>
              <w:rPr>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三年级</w:t>
            </w:r>
          </w:p>
        </w:tc>
        <w:tc>
          <w:tcPr>
            <w:tcW w:w="4148" w:type="dxa"/>
            <w:vAlign w:val="center"/>
          </w:tcPr>
          <w:p>
            <w:pPr>
              <w:jc w:val="center"/>
              <w:rPr>
                <w:sz w:val="21"/>
                <w:szCs w:val="21"/>
              </w:rPr>
            </w:pPr>
            <w:r>
              <w:rPr>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四年级</w:t>
            </w:r>
          </w:p>
        </w:tc>
        <w:tc>
          <w:tcPr>
            <w:tcW w:w="4148" w:type="dxa"/>
            <w:vAlign w:val="center"/>
          </w:tcPr>
          <w:p>
            <w:pPr>
              <w:jc w:val="center"/>
              <w:rPr>
                <w:sz w:val="21"/>
                <w:szCs w:val="21"/>
              </w:rPr>
            </w:pPr>
            <w:r>
              <w:rPr>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sz w:val="21"/>
                <w:szCs w:val="21"/>
              </w:rPr>
            </w:pPr>
            <w:r>
              <w:rPr>
                <w:rFonts w:hint="eastAsia"/>
                <w:sz w:val="21"/>
                <w:szCs w:val="21"/>
              </w:rPr>
              <w:t>其他</w:t>
            </w:r>
          </w:p>
        </w:tc>
        <w:tc>
          <w:tcPr>
            <w:tcW w:w="4148" w:type="dxa"/>
            <w:vAlign w:val="center"/>
          </w:tcPr>
          <w:p>
            <w:pPr>
              <w:jc w:val="center"/>
              <w:rPr>
                <w:sz w:val="21"/>
                <w:szCs w:val="21"/>
              </w:rPr>
            </w:pPr>
            <w:r>
              <w:rPr>
                <w:sz w:val="21"/>
                <w:szCs w:val="21"/>
              </w:rPr>
              <w:t>1</w:t>
            </w:r>
          </w:p>
        </w:tc>
      </w:tr>
    </w:tbl>
    <w:p>
      <w:pPr>
        <w:snapToGrid w:val="0"/>
        <w:ind w:firstLine="480" w:firstLineChars="200"/>
        <w:rPr>
          <w:color w:val="FF0000"/>
        </w:rPr>
      </w:pPr>
    </w:p>
    <w:p>
      <w:pPr>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本专业规模稳定，每年级维持在平均30人左右，具有较高师生比例。</w:t>
      </w:r>
    </w:p>
    <w:p>
      <w:pPr>
        <w:pStyle w:val="4"/>
        <w:rPr>
          <w:rFonts w:ascii="宋体" w:hAnsi="宋体" w:eastAsia="宋体"/>
          <w:b w:val="0"/>
          <w:bCs w:val="0"/>
          <w:sz w:val="24"/>
          <w:szCs w:val="24"/>
        </w:rPr>
      </w:pPr>
      <w:bookmarkStart w:id="86" w:name="_Toc155617904"/>
      <w:r>
        <w:rPr>
          <w:rFonts w:ascii="宋体" w:hAnsi="宋体" w:eastAsia="宋体"/>
          <w:b w:val="0"/>
          <w:bCs w:val="0"/>
          <w:sz w:val="24"/>
          <w:szCs w:val="24"/>
        </w:rPr>
        <w:t>7.2专业招生录取率和新生报到率</w:t>
      </w:r>
      <w:bookmarkEnd w:id="86"/>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037"/>
        <w:gridCol w:w="1037"/>
        <w:gridCol w:w="1037"/>
        <w:gridCol w:w="1037"/>
        <w:gridCol w:w="1037"/>
        <w:gridCol w:w="103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sz w:val="21"/>
                <w:szCs w:val="21"/>
              </w:rPr>
            </w:pPr>
            <w:r>
              <w:rPr>
                <w:rFonts w:hint="eastAsia"/>
                <w:sz w:val="21"/>
                <w:szCs w:val="21"/>
              </w:rPr>
              <w:t>省份</w:t>
            </w:r>
          </w:p>
        </w:tc>
        <w:tc>
          <w:tcPr>
            <w:tcW w:w="1037" w:type="dxa"/>
            <w:vAlign w:val="center"/>
          </w:tcPr>
          <w:p>
            <w:pPr>
              <w:jc w:val="center"/>
              <w:rPr>
                <w:sz w:val="21"/>
                <w:szCs w:val="21"/>
              </w:rPr>
            </w:pPr>
            <w:r>
              <w:rPr>
                <w:rFonts w:hint="eastAsia"/>
                <w:sz w:val="21"/>
                <w:szCs w:val="21"/>
              </w:rPr>
              <w:t>招生计划数</w:t>
            </w:r>
          </w:p>
        </w:tc>
        <w:tc>
          <w:tcPr>
            <w:tcW w:w="1037" w:type="dxa"/>
            <w:vAlign w:val="center"/>
          </w:tcPr>
          <w:p>
            <w:pPr>
              <w:jc w:val="center"/>
              <w:rPr>
                <w:sz w:val="21"/>
                <w:szCs w:val="21"/>
              </w:rPr>
            </w:pPr>
            <w:r>
              <w:rPr>
                <w:rFonts w:hint="eastAsia"/>
                <w:sz w:val="21"/>
                <w:szCs w:val="21"/>
              </w:rPr>
              <w:t>实际录取数</w:t>
            </w:r>
          </w:p>
        </w:tc>
        <w:tc>
          <w:tcPr>
            <w:tcW w:w="1037" w:type="dxa"/>
            <w:vAlign w:val="center"/>
          </w:tcPr>
          <w:p>
            <w:pPr>
              <w:jc w:val="center"/>
              <w:rPr>
                <w:sz w:val="21"/>
                <w:szCs w:val="21"/>
              </w:rPr>
            </w:pPr>
            <w:r>
              <w:rPr>
                <w:rFonts w:hint="eastAsia"/>
                <w:sz w:val="21"/>
                <w:szCs w:val="21"/>
              </w:rPr>
              <w:t>录取率</w:t>
            </w:r>
          </w:p>
        </w:tc>
        <w:tc>
          <w:tcPr>
            <w:tcW w:w="1037" w:type="dxa"/>
            <w:vAlign w:val="center"/>
          </w:tcPr>
          <w:p>
            <w:pPr>
              <w:jc w:val="center"/>
              <w:rPr>
                <w:sz w:val="21"/>
                <w:szCs w:val="21"/>
              </w:rPr>
            </w:pPr>
            <w:r>
              <w:rPr>
                <w:rFonts w:hint="eastAsia"/>
                <w:sz w:val="21"/>
                <w:szCs w:val="21"/>
              </w:rPr>
              <w:t>一志愿录取数</w:t>
            </w:r>
          </w:p>
        </w:tc>
        <w:tc>
          <w:tcPr>
            <w:tcW w:w="1037" w:type="dxa"/>
            <w:vAlign w:val="center"/>
          </w:tcPr>
          <w:p>
            <w:pPr>
              <w:jc w:val="center"/>
              <w:rPr>
                <w:sz w:val="21"/>
                <w:szCs w:val="21"/>
              </w:rPr>
            </w:pPr>
            <w:r>
              <w:rPr>
                <w:rFonts w:hint="eastAsia"/>
                <w:sz w:val="21"/>
                <w:szCs w:val="21"/>
              </w:rPr>
              <w:t>一志愿录取率</w:t>
            </w:r>
          </w:p>
        </w:tc>
        <w:tc>
          <w:tcPr>
            <w:tcW w:w="1037" w:type="dxa"/>
            <w:vAlign w:val="center"/>
          </w:tcPr>
          <w:p>
            <w:pPr>
              <w:jc w:val="center"/>
              <w:rPr>
                <w:sz w:val="21"/>
                <w:szCs w:val="21"/>
              </w:rPr>
            </w:pPr>
            <w:r>
              <w:rPr>
                <w:rFonts w:hint="eastAsia"/>
                <w:sz w:val="21"/>
                <w:szCs w:val="21"/>
              </w:rPr>
              <w:t>实际报到数</w:t>
            </w:r>
          </w:p>
        </w:tc>
        <w:tc>
          <w:tcPr>
            <w:tcW w:w="1037" w:type="dxa"/>
            <w:vAlign w:val="center"/>
          </w:tcPr>
          <w:p>
            <w:pPr>
              <w:jc w:val="center"/>
              <w:rPr>
                <w:sz w:val="21"/>
                <w:szCs w:val="21"/>
              </w:rPr>
            </w:pPr>
            <w:r>
              <w:rPr>
                <w:rFonts w:hint="eastAsia"/>
                <w:sz w:val="21"/>
                <w:szCs w:val="21"/>
              </w:rPr>
              <w:t>报到率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sz w:val="20"/>
                <w:szCs w:val="20"/>
              </w:rPr>
            </w:pPr>
            <w:r>
              <w:rPr>
                <w:sz w:val="20"/>
                <w:szCs w:val="20"/>
              </w:rPr>
              <w:t>贵州省</w:t>
            </w:r>
          </w:p>
        </w:tc>
        <w:tc>
          <w:tcPr>
            <w:tcW w:w="1037" w:type="dxa"/>
            <w:vAlign w:val="center"/>
          </w:tcPr>
          <w:p>
            <w:pPr>
              <w:jc w:val="center"/>
              <w:rPr>
                <w:sz w:val="20"/>
                <w:szCs w:val="20"/>
              </w:rPr>
            </w:pPr>
            <w:r>
              <w:rPr>
                <w:sz w:val="20"/>
                <w:szCs w:val="20"/>
              </w:rPr>
              <w:t>4</w:t>
            </w:r>
          </w:p>
        </w:tc>
        <w:tc>
          <w:tcPr>
            <w:tcW w:w="1037" w:type="dxa"/>
            <w:vAlign w:val="center"/>
          </w:tcPr>
          <w:p>
            <w:pPr>
              <w:jc w:val="center"/>
              <w:rPr>
                <w:sz w:val="20"/>
                <w:szCs w:val="20"/>
              </w:rPr>
            </w:pPr>
            <w:r>
              <w:rPr>
                <w:sz w:val="20"/>
                <w:szCs w:val="20"/>
              </w:rPr>
              <w:t>4</w:t>
            </w:r>
          </w:p>
        </w:tc>
        <w:tc>
          <w:tcPr>
            <w:tcW w:w="1037" w:type="dxa"/>
            <w:vAlign w:val="center"/>
          </w:tcPr>
          <w:p>
            <w:pPr>
              <w:jc w:val="center"/>
              <w:rPr>
                <w:sz w:val="20"/>
                <w:szCs w:val="20"/>
              </w:rPr>
            </w:pPr>
            <w:r>
              <w:rPr>
                <w:sz w:val="20"/>
                <w:szCs w:val="20"/>
              </w:rPr>
              <w:t>100</w:t>
            </w:r>
          </w:p>
        </w:tc>
        <w:tc>
          <w:tcPr>
            <w:tcW w:w="1037" w:type="dxa"/>
            <w:vAlign w:val="center"/>
          </w:tcPr>
          <w:p>
            <w:pPr>
              <w:jc w:val="center"/>
              <w:rPr>
                <w:sz w:val="20"/>
                <w:szCs w:val="20"/>
              </w:rPr>
            </w:pPr>
            <w:r>
              <w:rPr>
                <w:sz w:val="20"/>
                <w:szCs w:val="20"/>
              </w:rPr>
              <w:t>0</w:t>
            </w:r>
          </w:p>
        </w:tc>
        <w:tc>
          <w:tcPr>
            <w:tcW w:w="1037" w:type="dxa"/>
            <w:vAlign w:val="center"/>
          </w:tcPr>
          <w:p>
            <w:pPr>
              <w:jc w:val="center"/>
              <w:rPr>
                <w:sz w:val="20"/>
                <w:szCs w:val="20"/>
              </w:rPr>
            </w:pPr>
            <w:r>
              <w:rPr>
                <w:sz w:val="20"/>
                <w:szCs w:val="20"/>
              </w:rPr>
              <w:t>0</w:t>
            </w:r>
          </w:p>
        </w:tc>
        <w:tc>
          <w:tcPr>
            <w:tcW w:w="1037" w:type="dxa"/>
            <w:vAlign w:val="center"/>
          </w:tcPr>
          <w:p>
            <w:pPr>
              <w:jc w:val="center"/>
              <w:rPr>
                <w:sz w:val="20"/>
                <w:szCs w:val="20"/>
              </w:rPr>
            </w:pPr>
            <w:r>
              <w:rPr>
                <w:sz w:val="20"/>
                <w:szCs w:val="20"/>
              </w:rPr>
              <w:t>4</w:t>
            </w:r>
          </w:p>
        </w:tc>
        <w:tc>
          <w:tcPr>
            <w:tcW w:w="1037" w:type="dxa"/>
            <w:vAlign w:val="center"/>
          </w:tcPr>
          <w:p>
            <w:pPr>
              <w:jc w:val="center"/>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sz w:val="20"/>
                <w:szCs w:val="20"/>
              </w:rPr>
            </w:pPr>
            <w:r>
              <w:rPr>
                <w:sz w:val="20"/>
              </w:rPr>
              <w:t>河南省</w:t>
            </w:r>
          </w:p>
        </w:tc>
        <w:tc>
          <w:tcPr>
            <w:tcW w:w="1037" w:type="dxa"/>
            <w:vAlign w:val="center"/>
          </w:tcPr>
          <w:p>
            <w:pPr>
              <w:jc w:val="center"/>
              <w:rPr>
                <w:sz w:val="20"/>
                <w:szCs w:val="20"/>
              </w:rPr>
            </w:pPr>
            <w:r>
              <w:rPr>
                <w:sz w:val="20"/>
              </w:rPr>
              <w:t>3</w:t>
            </w:r>
          </w:p>
        </w:tc>
        <w:tc>
          <w:tcPr>
            <w:tcW w:w="1037" w:type="dxa"/>
            <w:vAlign w:val="center"/>
          </w:tcPr>
          <w:p>
            <w:pPr>
              <w:jc w:val="center"/>
              <w:rPr>
                <w:sz w:val="20"/>
                <w:szCs w:val="20"/>
              </w:rPr>
            </w:pPr>
            <w:r>
              <w:rPr>
                <w:sz w:val="20"/>
              </w:rPr>
              <w:t>3</w:t>
            </w:r>
          </w:p>
        </w:tc>
        <w:tc>
          <w:tcPr>
            <w:tcW w:w="1037" w:type="dxa"/>
            <w:vAlign w:val="center"/>
          </w:tcPr>
          <w:p>
            <w:pPr>
              <w:jc w:val="center"/>
              <w:rPr>
                <w:sz w:val="20"/>
                <w:szCs w:val="20"/>
              </w:rPr>
            </w:pPr>
            <w:r>
              <w:rPr>
                <w:sz w:val="20"/>
              </w:rPr>
              <w:t>100</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66.67</w:t>
            </w:r>
          </w:p>
        </w:tc>
        <w:tc>
          <w:tcPr>
            <w:tcW w:w="1037" w:type="dxa"/>
            <w:vAlign w:val="center"/>
          </w:tcPr>
          <w:p>
            <w:pPr>
              <w:jc w:val="center"/>
              <w:rPr>
                <w:sz w:val="20"/>
                <w:szCs w:val="20"/>
              </w:rPr>
            </w:pPr>
            <w:r>
              <w:rPr>
                <w:sz w:val="20"/>
              </w:rPr>
              <w:t>3</w:t>
            </w:r>
          </w:p>
        </w:tc>
        <w:tc>
          <w:tcPr>
            <w:tcW w:w="1037" w:type="dxa"/>
            <w:vAlign w:val="center"/>
          </w:tcPr>
          <w:p>
            <w:pPr>
              <w:jc w:val="center"/>
              <w:rPr>
                <w:sz w:val="20"/>
                <w:szCs w:val="20"/>
              </w:rPr>
            </w:pPr>
            <w:r>
              <w:rPr>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sz w:val="20"/>
                <w:szCs w:val="20"/>
              </w:rPr>
            </w:pPr>
            <w:r>
              <w:rPr>
                <w:sz w:val="20"/>
              </w:rPr>
              <w:t>上海市</w:t>
            </w:r>
          </w:p>
        </w:tc>
        <w:tc>
          <w:tcPr>
            <w:tcW w:w="1037" w:type="dxa"/>
            <w:vAlign w:val="center"/>
          </w:tcPr>
          <w:p>
            <w:pPr>
              <w:jc w:val="center"/>
              <w:rPr>
                <w:sz w:val="20"/>
                <w:szCs w:val="20"/>
              </w:rPr>
            </w:pPr>
            <w:r>
              <w:rPr>
                <w:sz w:val="20"/>
              </w:rPr>
              <w:t>4</w:t>
            </w:r>
          </w:p>
        </w:tc>
        <w:tc>
          <w:tcPr>
            <w:tcW w:w="1037" w:type="dxa"/>
            <w:vAlign w:val="center"/>
          </w:tcPr>
          <w:p>
            <w:pPr>
              <w:jc w:val="center"/>
              <w:rPr>
                <w:sz w:val="20"/>
                <w:szCs w:val="20"/>
              </w:rPr>
            </w:pPr>
            <w:r>
              <w:rPr>
                <w:sz w:val="20"/>
              </w:rPr>
              <w:t>4</w:t>
            </w:r>
          </w:p>
        </w:tc>
        <w:tc>
          <w:tcPr>
            <w:tcW w:w="1037" w:type="dxa"/>
            <w:vAlign w:val="center"/>
          </w:tcPr>
          <w:p>
            <w:pPr>
              <w:jc w:val="center"/>
              <w:rPr>
                <w:sz w:val="20"/>
                <w:szCs w:val="20"/>
              </w:rPr>
            </w:pPr>
            <w:r>
              <w:rPr>
                <w:sz w:val="20"/>
              </w:rPr>
              <w:t>100</w:t>
            </w:r>
          </w:p>
        </w:tc>
        <w:tc>
          <w:tcPr>
            <w:tcW w:w="1037" w:type="dxa"/>
            <w:vAlign w:val="center"/>
          </w:tcPr>
          <w:p>
            <w:pPr>
              <w:jc w:val="center"/>
              <w:rPr>
                <w:sz w:val="20"/>
                <w:szCs w:val="20"/>
              </w:rPr>
            </w:pPr>
            <w:r>
              <w:rPr>
                <w:sz w:val="20"/>
              </w:rPr>
              <w:t>0</w:t>
            </w:r>
          </w:p>
        </w:tc>
        <w:tc>
          <w:tcPr>
            <w:tcW w:w="1037" w:type="dxa"/>
            <w:vAlign w:val="center"/>
          </w:tcPr>
          <w:p>
            <w:pPr>
              <w:jc w:val="center"/>
              <w:rPr>
                <w:sz w:val="20"/>
                <w:szCs w:val="20"/>
              </w:rPr>
            </w:pPr>
            <w:r>
              <w:rPr>
                <w:sz w:val="20"/>
              </w:rPr>
              <w:t>0</w:t>
            </w:r>
          </w:p>
        </w:tc>
        <w:tc>
          <w:tcPr>
            <w:tcW w:w="1037" w:type="dxa"/>
            <w:vAlign w:val="center"/>
          </w:tcPr>
          <w:p>
            <w:pPr>
              <w:jc w:val="center"/>
              <w:rPr>
                <w:sz w:val="20"/>
                <w:szCs w:val="20"/>
              </w:rPr>
            </w:pPr>
            <w:r>
              <w:rPr>
                <w:sz w:val="20"/>
              </w:rPr>
              <w:t>4</w:t>
            </w:r>
          </w:p>
        </w:tc>
        <w:tc>
          <w:tcPr>
            <w:tcW w:w="1037" w:type="dxa"/>
            <w:vAlign w:val="center"/>
          </w:tcPr>
          <w:p>
            <w:pPr>
              <w:jc w:val="center"/>
              <w:rPr>
                <w:sz w:val="20"/>
                <w:szCs w:val="20"/>
              </w:rPr>
            </w:pPr>
            <w:r>
              <w:rPr>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sz w:val="20"/>
                <w:szCs w:val="20"/>
              </w:rPr>
            </w:pPr>
            <w:r>
              <w:rPr>
                <w:sz w:val="20"/>
              </w:rPr>
              <w:t>安徽省</w:t>
            </w:r>
          </w:p>
        </w:tc>
        <w:tc>
          <w:tcPr>
            <w:tcW w:w="1037" w:type="dxa"/>
            <w:vAlign w:val="center"/>
          </w:tcPr>
          <w:p>
            <w:pPr>
              <w:jc w:val="center"/>
              <w:rPr>
                <w:sz w:val="20"/>
                <w:szCs w:val="20"/>
              </w:rPr>
            </w:pPr>
            <w:r>
              <w:rPr>
                <w:sz w:val="20"/>
              </w:rPr>
              <w:t>5</w:t>
            </w:r>
          </w:p>
        </w:tc>
        <w:tc>
          <w:tcPr>
            <w:tcW w:w="1037" w:type="dxa"/>
            <w:vAlign w:val="center"/>
          </w:tcPr>
          <w:p>
            <w:pPr>
              <w:jc w:val="center"/>
              <w:rPr>
                <w:sz w:val="20"/>
                <w:szCs w:val="20"/>
              </w:rPr>
            </w:pPr>
            <w:r>
              <w:rPr>
                <w:sz w:val="20"/>
              </w:rPr>
              <w:t>5</w:t>
            </w:r>
          </w:p>
        </w:tc>
        <w:tc>
          <w:tcPr>
            <w:tcW w:w="1037" w:type="dxa"/>
            <w:vAlign w:val="center"/>
          </w:tcPr>
          <w:p>
            <w:pPr>
              <w:jc w:val="center"/>
              <w:rPr>
                <w:sz w:val="20"/>
                <w:szCs w:val="20"/>
              </w:rPr>
            </w:pPr>
            <w:r>
              <w:rPr>
                <w:sz w:val="20"/>
              </w:rPr>
              <w:t>100</w:t>
            </w:r>
          </w:p>
        </w:tc>
        <w:tc>
          <w:tcPr>
            <w:tcW w:w="1037" w:type="dxa"/>
            <w:vAlign w:val="center"/>
          </w:tcPr>
          <w:p>
            <w:pPr>
              <w:jc w:val="center"/>
              <w:rPr>
                <w:sz w:val="20"/>
                <w:szCs w:val="20"/>
              </w:rPr>
            </w:pPr>
            <w:r>
              <w:rPr>
                <w:sz w:val="20"/>
              </w:rPr>
              <w:t>0</w:t>
            </w:r>
          </w:p>
        </w:tc>
        <w:tc>
          <w:tcPr>
            <w:tcW w:w="1037" w:type="dxa"/>
            <w:vAlign w:val="center"/>
          </w:tcPr>
          <w:p>
            <w:pPr>
              <w:jc w:val="center"/>
              <w:rPr>
                <w:sz w:val="20"/>
                <w:szCs w:val="20"/>
              </w:rPr>
            </w:pPr>
            <w:r>
              <w:rPr>
                <w:sz w:val="20"/>
              </w:rPr>
              <w:t>0</w:t>
            </w:r>
          </w:p>
        </w:tc>
        <w:tc>
          <w:tcPr>
            <w:tcW w:w="1037" w:type="dxa"/>
            <w:vAlign w:val="center"/>
          </w:tcPr>
          <w:p>
            <w:pPr>
              <w:jc w:val="center"/>
              <w:rPr>
                <w:sz w:val="20"/>
                <w:szCs w:val="20"/>
              </w:rPr>
            </w:pPr>
            <w:r>
              <w:rPr>
                <w:sz w:val="20"/>
              </w:rPr>
              <w:t>5</w:t>
            </w:r>
          </w:p>
        </w:tc>
        <w:tc>
          <w:tcPr>
            <w:tcW w:w="1037" w:type="dxa"/>
            <w:vAlign w:val="center"/>
          </w:tcPr>
          <w:p>
            <w:pPr>
              <w:jc w:val="center"/>
              <w:rPr>
                <w:sz w:val="20"/>
                <w:szCs w:val="20"/>
              </w:rPr>
            </w:pPr>
            <w:r>
              <w:rPr>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sz w:val="20"/>
                <w:szCs w:val="20"/>
              </w:rPr>
            </w:pPr>
            <w:r>
              <w:rPr>
                <w:sz w:val="20"/>
              </w:rPr>
              <w:t>江西省</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100</w:t>
            </w:r>
          </w:p>
        </w:tc>
        <w:tc>
          <w:tcPr>
            <w:tcW w:w="1037" w:type="dxa"/>
            <w:vAlign w:val="center"/>
          </w:tcPr>
          <w:p>
            <w:pPr>
              <w:jc w:val="center"/>
              <w:rPr>
                <w:sz w:val="20"/>
                <w:szCs w:val="20"/>
              </w:rPr>
            </w:pPr>
            <w:r>
              <w:rPr>
                <w:sz w:val="20"/>
              </w:rPr>
              <w:t>0</w:t>
            </w:r>
          </w:p>
        </w:tc>
        <w:tc>
          <w:tcPr>
            <w:tcW w:w="1037" w:type="dxa"/>
            <w:vAlign w:val="center"/>
          </w:tcPr>
          <w:p>
            <w:pPr>
              <w:jc w:val="center"/>
              <w:rPr>
                <w:sz w:val="20"/>
                <w:szCs w:val="20"/>
              </w:rPr>
            </w:pPr>
            <w:r>
              <w:rPr>
                <w:sz w:val="20"/>
              </w:rPr>
              <w:t>0</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sz w:val="20"/>
                <w:szCs w:val="20"/>
              </w:rPr>
            </w:pPr>
            <w:r>
              <w:rPr>
                <w:sz w:val="20"/>
              </w:rPr>
              <w:t>海南省</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100</w:t>
            </w:r>
          </w:p>
        </w:tc>
        <w:tc>
          <w:tcPr>
            <w:tcW w:w="1037" w:type="dxa"/>
            <w:vAlign w:val="center"/>
          </w:tcPr>
          <w:p>
            <w:pPr>
              <w:jc w:val="center"/>
              <w:rPr>
                <w:sz w:val="20"/>
                <w:szCs w:val="20"/>
              </w:rPr>
            </w:pPr>
            <w:r>
              <w:rPr>
                <w:sz w:val="20"/>
              </w:rPr>
              <w:t>0</w:t>
            </w:r>
          </w:p>
        </w:tc>
        <w:tc>
          <w:tcPr>
            <w:tcW w:w="1037" w:type="dxa"/>
            <w:vAlign w:val="center"/>
          </w:tcPr>
          <w:p>
            <w:pPr>
              <w:jc w:val="center"/>
              <w:rPr>
                <w:sz w:val="20"/>
                <w:szCs w:val="20"/>
              </w:rPr>
            </w:pPr>
            <w:r>
              <w:rPr>
                <w:sz w:val="20"/>
              </w:rPr>
              <w:t>0</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sz w:val="20"/>
                <w:szCs w:val="20"/>
              </w:rPr>
            </w:pPr>
            <w:r>
              <w:rPr>
                <w:sz w:val="20"/>
              </w:rPr>
              <w:t>云南省</w:t>
            </w:r>
          </w:p>
        </w:tc>
        <w:tc>
          <w:tcPr>
            <w:tcW w:w="1037" w:type="dxa"/>
            <w:vAlign w:val="center"/>
          </w:tcPr>
          <w:p>
            <w:pPr>
              <w:jc w:val="center"/>
              <w:rPr>
                <w:sz w:val="20"/>
                <w:szCs w:val="20"/>
              </w:rPr>
            </w:pPr>
            <w:r>
              <w:rPr>
                <w:sz w:val="20"/>
              </w:rPr>
              <w:t>4</w:t>
            </w:r>
          </w:p>
        </w:tc>
        <w:tc>
          <w:tcPr>
            <w:tcW w:w="1037" w:type="dxa"/>
            <w:vAlign w:val="center"/>
          </w:tcPr>
          <w:p>
            <w:pPr>
              <w:jc w:val="center"/>
              <w:rPr>
                <w:sz w:val="20"/>
                <w:szCs w:val="20"/>
              </w:rPr>
            </w:pPr>
            <w:r>
              <w:rPr>
                <w:sz w:val="20"/>
              </w:rPr>
              <w:t>4</w:t>
            </w:r>
          </w:p>
        </w:tc>
        <w:tc>
          <w:tcPr>
            <w:tcW w:w="1037" w:type="dxa"/>
            <w:vAlign w:val="center"/>
          </w:tcPr>
          <w:p>
            <w:pPr>
              <w:jc w:val="center"/>
              <w:rPr>
                <w:sz w:val="20"/>
                <w:szCs w:val="20"/>
              </w:rPr>
            </w:pPr>
            <w:r>
              <w:rPr>
                <w:sz w:val="20"/>
              </w:rPr>
              <w:t>100</w:t>
            </w:r>
          </w:p>
        </w:tc>
        <w:tc>
          <w:tcPr>
            <w:tcW w:w="1037" w:type="dxa"/>
            <w:vAlign w:val="center"/>
          </w:tcPr>
          <w:p>
            <w:pPr>
              <w:jc w:val="center"/>
              <w:rPr>
                <w:sz w:val="20"/>
                <w:szCs w:val="20"/>
              </w:rPr>
            </w:pPr>
            <w:r>
              <w:rPr>
                <w:sz w:val="20"/>
              </w:rPr>
              <w:t>3</w:t>
            </w:r>
          </w:p>
        </w:tc>
        <w:tc>
          <w:tcPr>
            <w:tcW w:w="1037" w:type="dxa"/>
            <w:vAlign w:val="center"/>
          </w:tcPr>
          <w:p>
            <w:pPr>
              <w:jc w:val="center"/>
              <w:rPr>
                <w:sz w:val="20"/>
                <w:szCs w:val="20"/>
              </w:rPr>
            </w:pPr>
            <w:r>
              <w:rPr>
                <w:sz w:val="20"/>
              </w:rPr>
              <w:t>75</w:t>
            </w:r>
          </w:p>
        </w:tc>
        <w:tc>
          <w:tcPr>
            <w:tcW w:w="1037" w:type="dxa"/>
            <w:vAlign w:val="center"/>
          </w:tcPr>
          <w:p>
            <w:pPr>
              <w:jc w:val="center"/>
              <w:rPr>
                <w:sz w:val="20"/>
                <w:szCs w:val="20"/>
              </w:rPr>
            </w:pPr>
            <w:r>
              <w:rPr>
                <w:sz w:val="20"/>
              </w:rPr>
              <w:t>4</w:t>
            </w:r>
          </w:p>
        </w:tc>
        <w:tc>
          <w:tcPr>
            <w:tcW w:w="1037" w:type="dxa"/>
            <w:vAlign w:val="center"/>
          </w:tcPr>
          <w:p>
            <w:pPr>
              <w:jc w:val="center"/>
              <w:rPr>
                <w:sz w:val="20"/>
                <w:szCs w:val="20"/>
              </w:rPr>
            </w:pPr>
            <w:r>
              <w:rPr>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sz w:val="20"/>
                <w:szCs w:val="20"/>
              </w:rPr>
            </w:pPr>
            <w:r>
              <w:rPr>
                <w:sz w:val="20"/>
              </w:rPr>
              <w:t>广西壮族自治区</w:t>
            </w:r>
          </w:p>
        </w:tc>
        <w:tc>
          <w:tcPr>
            <w:tcW w:w="1037" w:type="dxa"/>
            <w:vAlign w:val="center"/>
          </w:tcPr>
          <w:p>
            <w:pPr>
              <w:jc w:val="center"/>
              <w:rPr>
                <w:sz w:val="20"/>
                <w:szCs w:val="20"/>
              </w:rPr>
            </w:pPr>
            <w:r>
              <w:rPr>
                <w:sz w:val="20"/>
              </w:rPr>
              <w:t>3</w:t>
            </w:r>
          </w:p>
        </w:tc>
        <w:tc>
          <w:tcPr>
            <w:tcW w:w="1037" w:type="dxa"/>
            <w:vAlign w:val="center"/>
          </w:tcPr>
          <w:p>
            <w:pPr>
              <w:jc w:val="center"/>
              <w:rPr>
                <w:sz w:val="20"/>
                <w:szCs w:val="20"/>
              </w:rPr>
            </w:pPr>
            <w:r>
              <w:rPr>
                <w:sz w:val="20"/>
              </w:rPr>
              <w:t>3</w:t>
            </w:r>
          </w:p>
        </w:tc>
        <w:tc>
          <w:tcPr>
            <w:tcW w:w="1037" w:type="dxa"/>
            <w:vAlign w:val="center"/>
          </w:tcPr>
          <w:p>
            <w:pPr>
              <w:jc w:val="center"/>
              <w:rPr>
                <w:sz w:val="20"/>
                <w:szCs w:val="20"/>
              </w:rPr>
            </w:pPr>
            <w:r>
              <w:rPr>
                <w:sz w:val="20"/>
              </w:rPr>
              <w:t>100</w:t>
            </w:r>
          </w:p>
        </w:tc>
        <w:tc>
          <w:tcPr>
            <w:tcW w:w="1037" w:type="dxa"/>
            <w:vAlign w:val="center"/>
          </w:tcPr>
          <w:p>
            <w:pPr>
              <w:jc w:val="center"/>
              <w:rPr>
                <w:sz w:val="20"/>
                <w:szCs w:val="20"/>
              </w:rPr>
            </w:pPr>
            <w:r>
              <w:rPr>
                <w:sz w:val="20"/>
              </w:rPr>
              <w:t>0</w:t>
            </w:r>
          </w:p>
        </w:tc>
        <w:tc>
          <w:tcPr>
            <w:tcW w:w="1037" w:type="dxa"/>
            <w:vAlign w:val="center"/>
          </w:tcPr>
          <w:p>
            <w:pPr>
              <w:jc w:val="center"/>
              <w:rPr>
                <w:sz w:val="20"/>
                <w:szCs w:val="20"/>
              </w:rPr>
            </w:pPr>
            <w:r>
              <w:rPr>
                <w:sz w:val="20"/>
              </w:rPr>
              <w:t>0</w:t>
            </w:r>
          </w:p>
        </w:tc>
        <w:tc>
          <w:tcPr>
            <w:tcW w:w="1037" w:type="dxa"/>
            <w:vAlign w:val="center"/>
          </w:tcPr>
          <w:p>
            <w:pPr>
              <w:jc w:val="center"/>
              <w:rPr>
                <w:sz w:val="20"/>
                <w:szCs w:val="20"/>
              </w:rPr>
            </w:pPr>
            <w:r>
              <w:rPr>
                <w:sz w:val="20"/>
              </w:rPr>
              <w:t>3</w:t>
            </w:r>
          </w:p>
        </w:tc>
        <w:tc>
          <w:tcPr>
            <w:tcW w:w="1037" w:type="dxa"/>
            <w:vAlign w:val="center"/>
          </w:tcPr>
          <w:p>
            <w:pPr>
              <w:jc w:val="center"/>
              <w:rPr>
                <w:sz w:val="20"/>
                <w:szCs w:val="20"/>
              </w:rPr>
            </w:pPr>
            <w:r>
              <w:rPr>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sz w:val="20"/>
                <w:szCs w:val="20"/>
              </w:rPr>
            </w:pPr>
            <w:r>
              <w:rPr>
                <w:sz w:val="20"/>
              </w:rPr>
              <w:t>辽宁省</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100</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100</w:t>
            </w:r>
          </w:p>
        </w:tc>
        <w:tc>
          <w:tcPr>
            <w:tcW w:w="1037" w:type="dxa"/>
            <w:vAlign w:val="center"/>
          </w:tcPr>
          <w:p>
            <w:pPr>
              <w:jc w:val="center"/>
              <w:rPr>
                <w:sz w:val="20"/>
                <w:szCs w:val="20"/>
              </w:rPr>
            </w:pPr>
            <w:r>
              <w:rPr>
                <w:sz w:val="20"/>
              </w:rPr>
              <w:t>2</w:t>
            </w:r>
          </w:p>
        </w:tc>
        <w:tc>
          <w:tcPr>
            <w:tcW w:w="1037" w:type="dxa"/>
            <w:vAlign w:val="center"/>
          </w:tcPr>
          <w:p>
            <w:pPr>
              <w:jc w:val="center"/>
              <w:rPr>
                <w:sz w:val="20"/>
                <w:szCs w:val="20"/>
              </w:rPr>
            </w:pPr>
            <w:r>
              <w:rPr>
                <w:sz w:val="20"/>
              </w:rPr>
              <w:t>100</w:t>
            </w:r>
          </w:p>
        </w:tc>
      </w:tr>
    </w:tbl>
    <w:p/>
    <w:p>
      <w:pPr>
        <w:snapToGrid w:val="0"/>
        <w:spacing w:line="360" w:lineRule="auto"/>
        <w:ind w:firstLine="480" w:firstLineChars="200"/>
        <w:rPr>
          <w:b/>
          <w:bCs/>
        </w:rPr>
      </w:pPr>
      <w:bookmarkStart w:id="87" w:name="_Toc155617905"/>
      <w:r>
        <w:rPr>
          <w:rFonts w:hint="eastAsia"/>
        </w:rPr>
        <w:t>本专业生源分布广泛，来自9个省份。本专业新生一志愿平均录取率在79</w:t>
      </w:r>
      <w:r>
        <w:t>.</w:t>
      </w:r>
      <w:r>
        <w:rPr>
          <w:rFonts w:hint="eastAsia"/>
        </w:rPr>
        <w:t>8</w:t>
      </w:r>
      <w:r>
        <w:t>4</w:t>
      </w:r>
      <w:r>
        <w:rPr>
          <w:rFonts w:hint="eastAsia"/>
        </w:rPr>
        <w:t>%左右，平均报到率达到100%。</w:t>
      </w:r>
    </w:p>
    <w:p>
      <w:pPr>
        <w:pStyle w:val="4"/>
        <w:rPr>
          <w:rFonts w:ascii="宋体" w:hAnsi="宋体" w:eastAsia="宋体"/>
          <w:b w:val="0"/>
          <w:bCs w:val="0"/>
          <w:sz w:val="24"/>
          <w:szCs w:val="24"/>
        </w:rPr>
      </w:pPr>
      <w:r>
        <w:rPr>
          <w:rFonts w:ascii="宋体" w:hAnsi="宋体" w:eastAsia="宋体"/>
          <w:b w:val="0"/>
          <w:bCs w:val="0"/>
          <w:sz w:val="24"/>
          <w:szCs w:val="24"/>
        </w:rPr>
        <w:t>7.3毕业生毕业率</w:t>
      </w:r>
      <w:r>
        <w:rPr>
          <w:rFonts w:hint="eastAsia" w:ascii="宋体" w:hAnsi="宋体" w:eastAsia="宋体"/>
          <w:b w:val="0"/>
          <w:bCs w:val="0"/>
          <w:sz w:val="24"/>
          <w:szCs w:val="24"/>
        </w:rPr>
        <w:t>、</w:t>
      </w:r>
      <w:r>
        <w:rPr>
          <w:rFonts w:ascii="宋体" w:hAnsi="宋体" w:eastAsia="宋体"/>
          <w:b w:val="0"/>
          <w:bCs w:val="0"/>
          <w:sz w:val="24"/>
          <w:szCs w:val="24"/>
        </w:rPr>
        <w:t>学位授予率</w:t>
      </w:r>
      <w:r>
        <w:rPr>
          <w:rFonts w:hint="eastAsia" w:ascii="宋体" w:hAnsi="宋体" w:eastAsia="宋体"/>
          <w:b w:val="0"/>
          <w:bCs w:val="0"/>
          <w:sz w:val="24"/>
          <w:szCs w:val="24"/>
        </w:rPr>
        <w:t>与去向落实率</w:t>
      </w:r>
      <w:bookmarkEnd w:id="87"/>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921"/>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sz w:val="21"/>
                <w:szCs w:val="21"/>
              </w:rPr>
            </w:pPr>
            <w:r>
              <w:rPr>
                <w:rFonts w:hint="eastAsia"/>
                <w:sz w:val="21"/>
                <w:szCs w:val="21"/>
              </w:rPr>
              <w:t>项目</w:t>
            </w:r>
          </w:p>
        </w:tc>
        <w:tc>
          <w:tcPr>
            <w:tcW w:w="1921" w:type="dxa"/>
            <w:vAlign w:val="center"/>
          </w:tcPr>
          <w:p>
            <w:pPr>
              <w:jc w:val="center"/>
              <w:rPr>
                <w:sz w:val="21"/>
                <w:szCs w:val="21"/>
              </w:rPr>
            </w:pPr>
            <w:r>
              <w:rPr>
                <w:rFonts w:hint="eastAsia"/>
                <w:sz w:val="21"/>
                <w:szCs w:val="21"/>
              </w:rPr>
              <w:t>专业情况</w:t>
            </w:r>
          </w:p>
        </w:tc>
        <w:tc>
          <w:tcPr>
            <w:tcW w:w="3261" w:type="dxa"/>
            <w:vAlign w:val="center"/>
          </w:tcPr>
          <w:p>
            <w:pPr>
              <w:jc w:val="center"/>
              <w:rPr>
                <w:sz w:val="21"/>
                <w:szCs w:val="21"/>
              </w:rPr>
            </w:pPr>
            <w:r>
              <w:rPr>
                <w:rFonts w:hint="eastAsia"/>
                <w:sz w:val="21"/>
                <w:szCs w:val="21"/>
              </w:rPr>
              <w:t>学校情况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sz w:val="21"/>
                <w:szCs w:val="21"/>
              </w:rPr>
            </w:pPr>
            <w:bookmarkStart w:id="88" w:name="OLE_LINK53"/>
            <w:r>
              <w:rPr>
                <w:rFonts w:hint="eastAsia"/>
                <w:sz w:val="21"/>
                <w:szCs w:val="21"/>
              </w:rPr>
              <w:t>应届毕业生数</w:t>
            </w:r>
            <w:bookmarkEnd w:id="88"/>
          </w:p>
        </w:tc>
        <w:tc>
          <w:tcPr>
            <w:tcW w:w="1921" w:type="dxa"/>
            <w:vAlign w:val="center"/>
          </w:tcPr>
          <w:p>
            <w:pPr>
              <w:jc w:val="center"/>
              <w:rPr>
                <w:sz w:val="21"/>
                <w:szCs w:val="21"/>
              </w:rPr>
            </w:pPr>
            <w:r>
              <w:rPr>
                <w:sz w:val="21"/>
                <w:szCs w:val="21"/>
              </w:rPr>
              <w:t>29</w:t>
            </w:r>
          </w:p>
        </w:tc>
        <w:tc>
          <w:tcPr>
            <w:tcW w:w="3261" w:type="dxa"/>
            <w:vAlign w:val="center"/>
          </w:tcPr>
          <w:p>
            <w:pPr>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sz w:val="21"/>
                <w:szCs w:val="21"/>
              </w:rPr>
            </w:pPr>
            <w:r>
              <w:rPr>
                <w:rFonts w:hint="eastAsia"/>
                <w:sz w:val="21"/>
                <w:szCs w:val="21"/>
              </w:rPr>
              <w:t>应届生中未按时毕业数</w:t>
            </w:r>
          </w:p>
        </w:tc>
        <w:tc>
          <w:tcPr>
            <w:tcW w:w="1921" w:type="dxa"/>
            <w:vAlign w:val="center"/>
          </w:tcPr>
          <w:p>
            <w:pPr>
              <w:jc w:val="center"/>
              <w:rPr>
                <w:sz w:val="21"/>
                <w:szCs w:val="21"/>
              </w:rPr>
            </w:pPr>
            <w:r>
              <w:rPr>
                <w:sz w:val="21"/>
                <w:szCs w:val="21"/>
              </w:rPr>
              <w:t>1</w:t>
            </w:r>
            <w:bookmarkStart w:id="89" w:name="OLE_LINK54"/>
            <w:bookmarkEnd w:id="89"/>
          </w:p>
        </w:tc>
        <w:tc>
          <w:tcPr>
            <w:tcW w:w="3261" w:type="dxa"/>
            <w:vAlign w:val="center"/>
          </w:tcPr>
          <w:p>
            <w:pPr>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sz w:val="21"/>
                <w:szCs w:val="21"/>
              </w:rPr>
            </w:pPr>
            <w:bookmarkStart w:id="90" w:name="OLE_LINK52"/>
            <w:r>
              <w:rPr>
                <w:rFonts w:hint="eastAsia"/>
                <w:sz w:val="21"/>
                <w:szCs w:val="21"/>
              </w:rPr>
              <w:t>毕业率（</w:t>
            </w:r>
            <w:r>
              <w:rPr>
                <w:sz w:val="21"/>
                <w:szCs w:val="21"/>
              </w:rPr>
              <w:t>%</w:t>
            </w:r>
            <w:r>
              <w:rPr>
                <w:rFonts w:hint="eastAsia"/>
                <w:sz w:val="21"/>
                <w:szCs w:val="21"/>
              </w:rPr>
              <w:t>）</w:t>
            </w:r>
            <w:bookmarkEnd w:id="90"/>
            <w:r>
              <w:rPr>
                <w:rFonts w:hint="eastAsia"/>
                <w:sz w:val="21"/>
                <w:szCs w:val="21"/>
              </w:rPr>
              <w:t xml:space="preserve"> </w:t>
            </w:r>
          </w:p>
        </w:tc>
        <w:tc>
          <w:tcPr>
            <w:tcW w:w="1921" w:type="dxa"/>
            <w:vAlign w:val="center"/>
          </w:tcPr>
          <w:p>
            <w:pPr>
              <w:jc w:val="center"/>
              <w:rPr>
                <w:sz w:val="21"/>
                <w:szCs w:val="21"/>
              </w:rPr>
            </w:pPr>
            <w:r>
              <w:rPr>
                <w:sz w:val="21"/>
                <w:szCs w:val="21"/>
              </w:rPr>
              <w:t>96.67</w:t>
            </w:r>
            <w:bookmarkStart w:id="91" w:name="OLE_LINK51"/>
            <w:bookmarkEnd w:id="91"/>
          </w:p>
        </w:tc>
        <w:tc>
          <w:tcPr>
            <w:tcW w:w="3261" w:type="dxa"/>
            <w:vAlign w:val="center"/>
          </w:tcPr>
          <w:p>
            <w:pPr>
              <w:jc w:val="center"/>
              <w:rPr>
                <w:sz w:val="21"/>
                <w:szCs w:val="21"/>
              </w:rPr>
            </w:pPr>
            <w:r>
              <w:rPr>
                <w:sz w:val="21"/>
                <w:szCs w:val="21"/>
              </w:rPr>
              <w:t>90.25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sz w:val="21"/>
                <w:szCs w:val="21"/>
              </w:rPr>
            </w:pPr>
            <w:r>
              <w:rPr>
                <w:rFonts w:hint="eastAsia"/>
                <w:sz w:val="21"/>
                <w:szCs w:val="21"/>
              </w:rPr>
              <w:t>学位授予数</w:t>
            </w:r>
          </w:p>
        </w:tc>
        <w:tc>
          <w:tcPr>
            <w:tcW w:w="1921" w:type="dxa"/>
            <w:vAlign w:val="center"/>
          </w:tcPr>
          <w:p>
            <w:pPr>
              <w:jc w:val="center"/>
              <w:rPr>
                <w:sz w:val="21"/>
                <w:szCs w:val="21"/>
              </w:rPr>
            </w:pPr>
            <w:r>
              <w:rPr>
                <w:sz w:val="21"/>
                <w:szCs w:val="21"/>
              </w:rPr>
              <w:t>28</w:t>
            </w:r>
          </w:p>
        </w:tc>
        <w:tc>
          <w:tcPr>
            <w:tcW w:w="3261" w:type="dxa"/>
            <w:vAlign w:val="center"/>
          </w:tcPr>
          <w:p>
            <w:pPr>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sz w:val="21"/>
                <w:szCs w:val="21"/>
              </w:rPr>
            </w:pPr>
            <w:r>
              <w:rPr>
                <w:rFonts w:hint="eastAsia"/>
                <w:sz w:val="21"/>
                <w:szCs w:val="21"/>
              </w:rPr>
              <w:t>学位授予率（</w:t>
            </w:r>
            <w:r>
              <w:rPr>
                <w:sz w:val="21"/>
                <w:szCs w:val="21"/>
              </w:rPr>
              <w:t>%</w:t>
            </w:r>
            <w:r>
              <w:rPr>
                <w:rFonts w:hint="eastAsia"/>
                <w:sz w:val="21"/>
                <w:szCs w:val="21"/>
              </w:rPr>
              <w:t xml:space="preserve">） </w:t>
            </w:r>
          </w:p>
        </w:tc>
        <w:tc>
          <w:tcPr>
            <w:tcW w:w="1921" w:type="dxa"/>
            <w:vAlign w:val="center"/>
          </w:tcPr>
          <w:p>
            <w:pPr>
              <w:jc w:val="center"/>
              <w:rPr>
                <w:sz w:val="21"/>
                <w:szCs w:val="21"/>
              </w:rPr>
            </w:pPr>
            <w:r>
              <w:rPr>
                <w:sz w:val="21"/>
                <w:szCs w:val="21"/>
              </w:rPr>
              <w:t>96.55</w:t>
            </w:r>
          </w:p>
        </w:tc>
        <w:tc>
          <w:tcPr>
            <w:tcW w:w="3261" w:type="dxa"/>
            <w:vAlign w:val="center"/>
          </w:tcPr>
          <w:p>
            <w:pPr>
              <w:jc w:val="center"/>
              <w:rPr>
                <w:sz w:val="21"/>
                <w:szCs w:val="21"/>
              </w:rPr>
            </w:pPr>
            <w:r>
              <w:rPr>
                <w:sz w:val="21"/>
                <w:szCs w:val="21"/>
              </w:rPr>
              <w:t>97.72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sz w:val="21"/>
                <w:szCs w:val="21"/>
              </w:rPr>
            </w:pPr>
            <w:r>
              <w:rPr>
                <w:rFonts w:hint="eastAsia"/>
                <w:sz w:val="21"/>
                <w:szCs w:val="21"/>
              </w:rPr>
              <w:t>去向落实数</w:t>
            </w:r>
          </w:p>
        </w:tc>
        <w:tc>
          <w:tcPr>
            <w:tcW w:w="1921" w:type="dxa"/>
            <w:vAlign w:val="center"/>
          </w:tcPr>
          <w:p>
            <w:pPr>
              <w:jc w:val="center"/>
              <w:rPr>
                <w:sz w:val="21"/>
                <w:szCs w:val="21"/>
              </w:rPr>
            </w:pPr>
            <w:r>
              <w:rPr>
                <w:sz w:val="21"/>
                <w:szCs w:val="21"/>
              </w:rPr>
              <w:t>28</w:t>
            </w:r>
          </w:p>
        </w:tc>
        <w:tc>
          <w:tcPr>
            <w:tcW w:w="3261" w:type="dxa"/>
            <w:vAlign w:val="center"/>
          </w:tcPr>
          <w:p>
            <w:pPr>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sz w:val="21"/>
                <w:szCs w:val="21"/>
              </w:rPr>
            </w:pPr>
            <w:r>
              <w:rPr>
                <w:rFonts w:hint="eastAsia"/>
                <w:sz w:val="21"/>
                <w:szCs w:val="21"/>
              </w:rPr>
              <w:t>去向落实率（</w:t>
            </w:r>
            <w:r>
              <w:rPr>
                <w:sz w:val="21"/>
                <w:szCs w:val="21"/>
              </w:rPr>
              <w:t>%</w:t>
            </w:r>
            <w:r>
              <w:rPr>
                <w:rFonts w:hint="eastAsia"/>
                <w:sz w:val="21"/>
                <w:szCs w:val="21"/>
              </w:rPr>
              <w:t>）</w:t>
            </w:r>
          </w:p>
        </w:tc>
        <w:tc>
          <w:tcPr>
            <w:tcW w:w="1921" w:type="dxa"/>
            <w:vAlign w:val="center"/>
          </w:tcPr>
          <w:p>
            <w:pPr>
              <w:jc w:val="center"/>
              <w:rPr>
                <w:sz w:val="21"/>
                <w:szCs w:val="21"/>
              </w:rPr>
            </w:pPr>
            <w:r>
              <w:rPr>
                <w:sz w:val="21"/>
                <w:szCs w:val="21"/>
              </w:rPr>
              <w:t>96.55</w:t>
            </w:r>
          </w:p>
        </w:tc>
        <w:tc>
          <w:tcPr>
            <w:tcW w:w="3261" w:type="dxa"/>
            <w:vAlign w:val="center"/>
          </w:tcPr>
          <w:p>
            <w:pPr>
              <w:jc w:val="center"/>
              <w:rPr>
                <w:sz w:val="21"/>
                <w:szCs w:val="21"/>
              </w:rPr>
            </w:pPr>
            <w:r>
              <w:rPr>
                <w:sz w:val="21"/>
                <w:szCs w:val="21"/>
              </w:rPr>
              <w:t>95.87</w:t>
            </w:r>
          </w:p>
        </w:tc>
      </w:tr>
    </w:tbl>
    <w:p/>
    <w:p>
      <w:pPr>
        <w:snapToGrid w:val="0"/>
        <w:spacing w:line="360" w:lineRule="auto"/>
        <w:ind w:firstLine="480" w:firstLineChars="200"/>
        <w:jc w:val="both"/>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本专业毕业率达到96.67%，学位授予率、就业率达到96.55%。</w:t>
      </w:r>
    </w:p>
    <w:p>
      <w:pPr>
        <w:pStyle w:val="4"/>
        <w:rPr>
          <w:rFonts w:ascii="宋体" w:hAnsi="宋体" w:eastAsia="宋体"/>
          <w:b w:val="0"/>
          <w:bCs w:val="0"/>
          <w:sz w:val="24"/>
          <w:szCs w:val="24"/>
        </w:rPr>
      </w:pPr>
      <w:bookmarkStart w:id="92" w:name="_Toc155617906"/>
      <w:r>
        <w:rPr>
          <w:rFonts w:ascii="宋体" w:hAnsi="宋体" w:eastAsia="宋体"/>
          <w:b w:val="0"/>
          <w:bCs w:val="0"/>
          <w:sz w:val="24"/>
          <w:szCs w:val="24"/>
        </w:rPr>
        <w:t>7.4</w:t>
      </w:r>
      <w:r>
        <w:rPr>
          <w:rFonts w:hint="eastAsia" w:ascii="宋体" w:hAnsi="宋体" w:eastAsia="宋体"/>
          <w:b w:val="0"/>
          <w:bCs w:val="0"/>
          <w:sz w:val="24"/>
          <w:szCs w:val="24"/>
        </w:rPr>
        <w:t>学风建设情况</w:t>
      </w:r>
      <w:bookmarkEnd w:id="92"/>
    </w:p>
    <w:p>
      <w:pPr>
        <w:snapToGrid w:val="0"/>
        <w:spacing w:line="360" w:lineRule="auto"/>
        <w:ind w:firstLine="480" w:firstLineChars="200"/>
        <w:jc w:val="both"/>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学风建设整体情况良好，学生遵守校纪校规，出勤良好，学生早晚自修情况良好。</w:t>
      </w:r>
    </w:p>
    <w:p>
      <w:pPr>
        <w:pStyle w:val="3"/>
        <w:snapToGrid w:val="0"/>
        <w:spacing w:after="120" w:line="415" w:lineRule="auto"/>
        <w:jc w:val="left"/>
        <w:rPr>
          <w:rFonts w:ascii="宋体" w:hAnsi="宋体"/>
          <w:sz w:val="28"/>
          <w:szCs w:val="28"/>
        </w:rPr>
      </w:pPr>
      <w:bookmarkStart w:id="93" w:name="_Toc155617907"/>
      <w:r>
        <w:rPr>
          <w:rFonts w:ascii="宋体" w:hAnsi="宋体"/>
          <w:sz w:val="28"/>
          <w:szCs w:val="28"/>
        </w:rPr>
        <w:t>8.</w:t>
      </w:r>
      <w:r>
        <w:rPr>
          <w:rFonts w:hint="eastAsia" w:ascii="宋体" w:hAnsi="宋体"/>
          <w:sz w:val="28"/>
          <w:szCs w:val="28"/>
        </w:rPr>
        <w:t>特色发展与案例</w:t>
      </w:r>
      <w:bookmarkEnd w:id="93"/>
    </w:p>
    <w:p>
      <w:pPr>
        <w:widowControl w:val="0"/>
        <w:snapToGrid w:val="0"/>
        <w:spacing w:line="360" w:lineRule="auto"/>
        <w:ind w:firstLine="480" w:firstLineChars="200"/>
        <w:jc w:val="both"/>
        <w:rPr>
          <w:rFonts w:cs="Times New Roman"/>
          <w:spacing w:val="-12"/>
          <w:kern w:val="2"/>
        </w:rPr>
      </w:pPr>
      <w:r>
        <w:rPr>
          <w:rFonts w:hint="eastAsia" w:cs="微软雅黑"/>
          <w:bCs/>
          <w:kern w:val="2"/>
        </w:rPr>
        <w:t>东方管理专业着眼于国家经济社会发展对熟练运用中外管理思想方法之人才的迫切需求，提出了以素养、视野、知识、能力为核心的人才培养模式。</w:t>
      </w:r>
      <w:r>
        <w:rPr>
          <w:rFonts w:hint="eastAsia" w:cs="Times New Roman"/>
          <w:spacing w:val="-12"/>
          <w:kern w:val="2"/>
        </w:rPr>
        <w:t>经过多年的摸索，结合工科院校自身特点以及专业发展目标，东方管理专业逐步形成了自己的专业特色：</w:t>
      </w:r>
    </w:p>
    <w:p>
      <w:pPr>
        <w:widowControl w:val="0"/>
        <w:snapToGrid w:val="0"/>
        <w:spacing w:line="360" w:lineRule="auto"/>
        <w:ind w:firstLine="480" w:firstLineChars="200"/>
        <w:jc w:val="both"/>
        <w:outlineLvl w:val="1"/>
        <w:rPr>
          <w:rFonts w:cs="微软雅黑"/>
          <w:bCs/>
          <w:kern w:val="2"/>
        </w:rPr>
      </w:pPr>
      <w:r>
        <w:rPr>
          <w:rFonts w:hint="eastAsia" w:cs="微软雅黑"/>
          <w:bCs/>
          <w:kern w:val="2"/>
        </w:rPr>
        <w:t>（一）在人才培养中强调社会教学资源的有效配置和教学全过程的综合应用，</w:t>
      </w:r>
      <w:r>
        <w:rPr>
          <w:rFonts w:hint="eastAsia" w:cs="微软雅黑"/>
          <w:b/>
          <w:bCs/>
          <w:kern w:val="2"/>
        </w:rPr>
        <w:t>积极探索社会、企业、教师、学生</w:t>
      </w:r>
      <w:r>
        <w:rPr>
          <w:rFonts w:hint="eastAsia" w:cs="Times New Roman"/>
          <w:b/>
          <w:bCs/>
          <w:kern w:val="2"/>
        </w:rPr>
        <w:t>“</w:t>
      </w:r>
      <w:r>
        <w:rPr>
          <w:rFonts w:hint="eastAsia" w:cs="微软雅黑"/>
          <w:b/>
          <w:bCs/>
          <w:kern w:val="2"/>
        </w:rPr>
        <w:t>四位一体</w:t>
      </w:r>
      <w:r>
        <w:rPr>
          <w:rFonts w:hint="eastAsia" w:cs="Times New Roman"/>
          <w:b/>
          <w:bCs/>
          <w:kern w:val="2"/>
        </w:rPr>
        <w:t>”</w:t>
      </w:r>
      <w:r>
        <w:rPr>
          <w:rFonts w:hint="eastAsia" w:cs="微软雅黑"/>
          <w:b/>
          <w:bCs/>
          <w:kern w:val="2"/>
        </w:rPr>
        <w:t>的</w:t>
      </w:r>
      <w:r>
        <w:rPr>
          <w:rFonts w:hint="eastAsia" w:cs="Times New Roman"/>
          <w:b/>
          <w:bCs/>
          <w:kern w:val="2"/>
        </w:rPr>
        <w:t>“</w:t>
      </w:r>
      <w:r>
        <w:rPr>
          <w:rFonts w:hint="eastAsia" w:cs="微软雅黑"/>
          <w:b/>
          <w:bCs/>
          <w:kern w:val="2"/>
        </w:rPr>
        <w:t>开放式</w:t>
      </w:r>
      <w:r>
        <w:rPr>
          <w:rFonts w:hint="eastAsia" w:cs="Times New Roman"/>
          <w:b/>
          <w:bCs/>
          <w:kern w:val="2"/>
        </w:rPr>
        <w:t>”</w:t>
      </w:r>
      <w:r>
        <w:rPr>
          <w:rFonts w:hint="eastAsia" w:cs="微软雅黑"/>
          <w:b/>
          <w:bCs/>
          <w:kern w:val="2"/>
        </w:rPr>
        <w:t>人才培养模式</w:t>
      </w:r>
      <w:r>
        <w:rPr>
          <w:rFonts w:hint="eastAsia" w:cs="微软雅黑"/>
          <w:bCs/>
          <w:kern w:val="2"/>
        </w:rPr>
        <w:t>。</w:t>
      </w:r>
    </w:p>
    <w:p>
      <w:pPr>
        <w:widowControl w:val="0"/>
        <w:snapToGrid w:val="0"/>
        <w:spacing w:line="360" w:lineRule="auto"/>
        <w:ind w:firstLine="482" w:firstLineChars="200"/>
        <w:jc w:val="both"/>
        <w:rPr>
          <w:rFonts w:cs="微软雅黑"/>
          <w:b/>
          <w:bCs/>
          <w:kern w:val="2"/>
        </w:rPr>
      </w:pPr>
      <w:r>
        <w:rPr>
          <w:rFonts w:hint="eastAsia" w:cs="微软雅黑"/>
          <w:b/>
          <w:bCs/>
          <w:kern w:val="2"/>
        </w:rPr>
        <w:t>（</w:t>
      </w:r>
      <w:r>
        <w:rPr>
          <w:rFonts w:hint="eastAsia" w:cs="Times New Roman"/>
          <w:b/>
          <w:bCs/>
          <w:kern w:val="2"/>
        </w:rPr>
        <w:t>1</w:t>
      </w:r>
      <w:r>
        <w:rPr>
          <w:rFonts w:hint="eastAsia" w:cs="微软雅黑"/>
          <w:b/>
          <w:bCs/>
          <w:kern w:val="2"/>
        </w:rPr>
        <w:t>）</w:t>
      </w:r>
      <w:r>
        <w:rPr>
          <w:rFonts w:hint="eastAsia" w:cs="Times New Roman"/>
          <w:b/>
          <w:bCs/>
          <w:kern w:val="2"/>
        </w:rPr>
        <w:t>“</w:t>
      </w:r>
      <w:r>
        <w:rPr>
          <w:rFonts w:hint="eastAsia" w:cs="微软雅黑"/>
          <w:b/>
          <w:bCs/>
          <w:kern w:val="2"/>
        </w:rPr>
        <w:t>开放式</w:t>
      </w:r>
      <w:r>
        <w:rPr>
          <w:rFonts w:hint="eastAsia" w:cs="Times New Roman"/>
          <w:b/>
          <w:bCs/>
          <w:kern w:val="2"/>
        </w:rPr>
        <w:t>”</w:t>
      </w:r>
      <w:r>
        <w:rPr>
          <w:rFonts w:hint="eastAsia" w:cs="微软雅黑"/>
          <w:b/>
          <w:bCs/>
          <w:kern w:val="2"/>
        </w:rPr>
        <w:t>教学平台</w:t>
      </w:r>
    </w:p>
    <w:p>
      <w:pPr>
        <w:widowControl w:val="0"/>
        <w:snapToGrid w:val="0"/>
        <w:spacing w:line="360" w:lineRule="auto"/>
        <w:ind w:firstLine="480" w:firstLineChars="200"/>
        <w:jc w:val="both"/>
        <w:rPr>
          <w:rFonts w:cs="微软雅黑"/>
          <w:bCs/>
          <w:kern w:val="2"/>
        </w:rPr>
      </w:pPr>
      <w:r>
        <w:rPr>
          <w:rFonts w:hint="eastAsia" w:cs="微软雅黑"/>
          <w:bCs/>
          <w:kern w:val="2"/>
        </w:rPr>
        <w:t>充分整合校内外优质的教学资源，集中为东方管理专业教学服务。东方管理</w:t>
      </w:r>
      <w:r>
        <w:rPr>
          <w:rFonts w:hint="eastAsia" w:cs="微软雅黑"/>
          <w:b/>
          <w:bCs/>
          <w:kern w:val="2"/>
        </w:rPr>
        <w:t>专业核心课程，</w:t>
      </w:r>
      <w:r>
        <w:rPr>
          <w:rFonts w:hint="eastAsia" w:cs="微软雅黑"/>
          <w:bCs/>
          <w:kern w:val="2"/>
        </w:rPr>
        <w:t>除了本专业教师之外，</w:t>
      </w:r>
      <w:r>
        <w:rPr>
          <w:rFonts w:hint="eastAsia" w:cs="微软雅黑"/>
          <w:b/>
          <w:bCs/>
          <w:kern w:val="2"/>
        </w:rPr>
        <w:t>聘请了校外、院外名师为东方管理专业的学生进行授课。</w:t>
      </w:r>
      <w:r>
        <w:rPr>
          <w:rFonts w:hint="eastAsia" w:cs="微软雅黑"/>
          <w:bCs/>
          <w:kern w:val="2"/>
        </w:rPr>
        <w:t>此外，东方管理专业还定期邀请美国、日本、加拿大等海外大学学者走入东方管理教学课堂，</w:t>
      </w:r>
      <w:r>
        <w:rPr>
          <w:rFonts w:hint="eastAsia" w:cs="微软雅黑"/>
          <w:b/>
          <w:bCs/>
          <w:kern w:val="2"/>
        </w:rPr>
        <w:t>为学生解答各国管理情景下的企业管理模式问题，拓展视野，强化基础</w:t>
      </w:r>
      <w:r>
        <w:rPr>
          <w:rFonts w:hint="eastAsia" w:cs="微软雅黑"/>
          <w:bCs/>
          <w:kern w:val="2"/>
        </w:rPr>
        <w:t>。</w:t>
      </w:r>
    </w:p>
    <w:p>
      <w:pPr>
        <w:widowControl w:val="0"/>
        <w:snapToGrid w:val="0"/>
        <w:spacing w:line="360" w:lineRule="auto"/>
        <w:ind w:firstLine="482" w:firstLineChars="200"/>
        <w:jc w:val="both"/>
        <w:rPr>
          <w:rFonts w:cs="微软雅黑"/>
          <w:b/>
          <w:bCs/>
          <w:kern w:val="2"/>
        </w:rPr>
      </w:pPr>
      <w:r>
        <w:rPr>
          <w:rFonts w:hint="eastAsia" w:cs="微软雅黑"/>
          <w:b/>
          <w:bCs/>
          <w:kern w:val="2"/>
        </w:rPr>
        <w:t>（</w:t>
      </w:r>
      <w:r>
        <w:rPr>
          <w:rFonts w:hint="eastAsia" w:cs="Times New Roman"/>
          <w:b/>
          <w:bCs/>
          <w:kern w:val="2"/>
        </w:rPr>
        <w:t>2</w:t>
      </w:r>
      <w:r>
        <w:rPr>
          <w:rFonts w:hint="eastAsia" w:cs="微软雅黑"/>
          <w:b/>
          <w:bCs/>
          <w:kern w:val="2"/>
        </w:rPr>
        <w:t>）</w:t>
      </w:r>
      <w:r>
        <w:rPr>
          <w:rFonts w:hint="eastAsia" w:cs="Times New Roman"/>
          <w:b/>
          <w:bCs/>
          <w:kern w:val="2"/>
        </w:rPr>
        <w:t>“</w:t>
      </w:r>
      <w:r>
        <w:rPr>
          <w:rFonts w:hint="eastAsia" w:cs="微软雅黑"/>
          <w:b/>
          <w:bCs/>
          <w:kern w:val="2"/>
        </w:rPr>
        <w:t>开放式</w:t>
      </w:r>
      <w:r>
        <w:rPr>
          <w:rFonts w:hint="eastAsia" w:cs="Times New Roman"/>
          <w:b/>
          <w:bCs/>
          <w:kern w:val="2"/>
        </w:rPr>
        <w:t>”</w:t>
      </w:r>
      <w:r>
        <w:rPr>
          <w:rFonts w:hint="eastAsia" w:cs="微软雅黑"/>
          <w:b/>
          <w:bCs/>
          <w:kern w:val="2"/>
        </w:rPr>
        <w:t>授课方式</w:t>
      </w:r>
    </w:p>
    <w:p>
      <w:pPr>
        <w:widowControl w:val="0"/>
        <w:snapToGrid w:val="0"/>
        <w:spacing w:line="360" w:lineRule="auto"/>
        <w:ind w:firstLine="480" w:firstLineChars="200"/>
        <w:jc w:val="both"/>
        <w:rPr>
          <w:rFonts w:cs="微软雅黑"/>
          <w:bCs/>
          <w:kern w:val="2"/>
        </w:rPr>
      </w:pPr>
      <w:r>
        <w:rPr>
          <w:rFonts w:hint="eastAsia" w:cs="微软雅黑"/>
          <w:bCs/>
          <w:kern w:val="2"/>
        </w:rPr>
        <w:t>东方管理专业的核心课程以及所有的案例课程都</w:t>
      </w:r>
      <w:r>
        <w:rPr>
          <w:rFonts w:hint="eastAsia" w:cs="微软雅黑"/>
          <w:b/>
          <w:bCs/>
          <w:kern w:val="2"/>
        </w:rPr>
        <w:t>采用</w:t>
      </w:r>
      <w:r>
        <w:rPr>
          <w:rFonts w:hint="eastAsia" w:cs="Times New Roman"/>
          <w:b/>
          <w:bCs/>
          <w:kern w:val="2"/>
        </w:rPr>
        <w:t>“</w:t>
      </w:r>
      <w:r>
        <w:rPr>
          <w:rFonts w:hint="eastAsia" w:cs="微软雅黑"/>
          <w:b/>
          <w:bCs/>
          <w:kern w:val="2"/>
        </w:rPr>
        <w:t>开放式</w:t>
      </w:r>
      <w:r>
        <w:rPr>
          <w:rFonts w:hint="eastAsia" w:cs="Times New Roman"/>
          <w:b/>
          <w:bCs/>
          <w:kern w:val="2"/>
        </w:rPr>
        <w:t>”</w:t>
      </w:r>
      <w:r>
        <w:rPr>
          <w:rFonts w:hint="eastAsia" w:cs="微软雅黑"/>
          <w:b/>
          <w:bCs/>
          <w:kern w:val="2"/>
        </w:rPr>
        <w:t>的授课方式（</w:t>
      </w:r>
      <w:r>
        <w:rPr>
          <w:rFonts w:cs="微软雅黑"/>
          <w:b/>
          <w:bCs/>
          <w:kern w:val="2"/>
        </w:rPr>
        <w:t>seminar</w:t>
      </w:r>
      <w:r>
        <w:rPr>
          <w:rFonts w:hint="eastAsia" w:cs="微软雅黑"/>
          <w:b/>
          <w:bCs/>
          <w:kern w:val="2"/>
        </w:rPr>
        <w:t>），即学生主动参与研讨式教学法。</w:t>
      </w:r>
      <w:r>
        <w:rPr>
          <w:rFonts w:hint="eastAsia" w:cs="微软雅黑"/>
          <w:bCs/>
          <w:kern w:val="2"/>
        </w:rPr>
        <w:t>授课教师通过前期讲授理论知识，后期通过问题的设定，带领学生针对管理问题进行具体讨论，让学生成为课堂的主人。</w:t>
      </w:r>
      <w:r>
        <w:rPr>
          <w:rFonts w:hint="eastAsia" w:cs="微软雅黑"/>
          <w:b/>
          <w:bCs/>
          <w:kern w:val="2"/>
        </w:rPr>
        <w:t>这些方式加深了学生对东西方管理思想和方法的理解，激发师生之间的思维碰撞，提高了学生发现问题和解决问题的能力。</w:t>
      </w:r>
    </w:p>
    <w:p>
      <w:pPr>
        <w:widowControl w:val="0"/>
        <w:snapToGrid w:val="0"/>
        <w:spacing w:line="360" w:lineRule="auto"/>
        <w:ind w:firstLine="482" w:firstLineChars="200"/>
        <w:jc w:val="both"/>
        <w:rPr>
          <w:rFonts w:cs="微软雅黑"/>
          <w:b/>
          <w:bCs/>
          <w:kern w:val="2"/>
        </w:rPr>
      </w:pPr>
      <w:r>
        <w:rPr>
          <w:rFonts w:hint="eastAsia" w:cs="微软雅黑"/>
          <w:b/>
          <w:bCs/>
          <w:kern w:val="2"/>
        </w:rPr>
        <w:t>（</w:t>
      </w:r>
      <w:r>
        <w:rPr>
          <w:rFonts w:hint="eastAsia" w:cs="Times New Roman"/>
          <w:b/>
          <w:bCs/>
          <w:kern w:val="2"/>
        </w:rPr>
        <w:t>3</w:t>
      </w:r>
      <w:r>
        <w:rPr>
          <w:rFonts w:hint="eastAsia" w:cs="微软雅黑"/>
          <w:b/>
          <w:bCs/>
          <w:kern w:val="2"/>
        </w:rPr>
        <w:t>）</w:t>
      </w:r>
      <w:r>
        <w:rPr>
          <w:rFonts w:hint="eastAsia" w:cs="Times New Roman"/>
          <w:b/>
          <w:bCs/>
          <w:kern w:val="2"/>
        </w:rPr>
        <w:t>“</w:t>
      </w:r>
      <w:r>
        <w:rPr>
          <w:rFonts w:hint="eastAsia" w:cs="微软雅黑"/>
          <w:b/>
          <w:bCs/>
          <w:kern w:val="2"/>
        </w:rPr>
        <w:t>开放式</w:t>
      </w:r>
      <w:r>
        <w:rPr>
          <w:rFonts w:hint="eastAsia" w:cs="Times New Roman"/>
          <w:b/>
          <w:bCs/>
          <w:kern w:val="2"/>
        </w:rPr>
        <w:t>”</w:t>
      </w:r>
      <w:r>
        <w:rPr>
          <w:rFonts w:hint="eastAsia" w:cs="微软雅黑"/>
          <w:b/>
          <w:bCs/>
          <w:kern w:val="2"/>
        </w:rPr>
        <w:t>学习方式</w:t>
      </w:r>
    </w:p>
    <w:p>
      <w:pPr>
        <w:widowControl w:val="0"/>
        <w:snapToGrid w:val="0"/>
        <w:spacing w:line="360" w:lineRule="auto"/>
        <w:ind w:firstLine="482" w:firstLineChars="200"/>
        <w:jc w:val="both"/>
        <w:rPr>
          <w:rFonts w:cs="微软雅黑"/>
          <w:bCs/>
          <w:kern w:val="2"/>
        </w:rPr>
      </w:pPr>
      <w:r>
        <w:rPr>
          <w:rFonts w:hint="eastAsia" w:cs="微软雅黑"/>
          <w:b/>
          <w:bCs/>
          <w:kern w:val="2"/>
        </w:rPr>
        <w:t>鼓励学生了解不同国家地区企业管理模式的特征和运用实际</w:t>
      </w:r>
      <w:r>
        <w:rPr>
          <w:rFonts w:hint="eastAsia" w:cs="微软雅黑"/>
          <w:bCs/>
          <w:kern w:val="2"/>
        </w:rPr>
        <w:t>。在培养计划中，增加了各类型案例课程、企业家与学生沟通环节。为了强化东方管理专业理论与实践的结合，安排了4学分中外企业比较研究实习，让学生走访大型国有企业、外资企业、民营企业、制造业企业、服务业企业等各类企业学习，</w:t>
      </w:r>
      <w:r>
        <w:rPr>
          <w:rFonts w:hint="eastAsia" w:cs="微软雅黑"/>
          <w:b/>
          <w:bCs/>
          <w:kern w:val="2"/>
        </w:rPr>
        <w:t>了解各类企业管理方式，增强实践管理能力。</w:t>
      </w:r>
    </w:p>
    <w:p>
      <w:pPr>
        <w:widowControl w:val="0"/>
        <w:snapToGrid w:val="0"/>
        <w:spacing w:line="360" w:lineRule="auto"/>
        <w:ind w:firstLine="482" w:firstLineChars="200"/>
        <w:jc w:val="both"/>
        <w:rPr>
          <w:rFonts w:cs="微软雅黑"/>
          <w:b/>
          <w:bCs/>
          <w:kern w:val="2"/>
        </w:rPr>
      </w:pPr>
      <w:r>
        <w:rPr>
          <w:rFonts w:hint="eastAsia" w:cs="微软雅黑"/>
          <w:b/>
          <w:bCs/>
          <w:kern w:val="2"/>
        </w:rPr>
        <w:t>（</w:t>
      </w:r>
      <w:r>
        <w:rPr>
          <w:rFonts w:hint="eastAsia" w:cs="Times New Roman"/>
          <w:b/>
          <w:bCs/>
          <w:kern w:val="2"/>
        </w:rPr>
        <w:t>4</w:t>
      </w:r>
      <w:r>
        <w:rPr>
          <w:rFonts w:hint="eastAsia" w:cs="微软雅黑"/>
          <w:b/>
          <w:bCs/>
          <w:kern w:val="2"/>
        </w:rPr>
        <w:t>）</w:t>
      </w:r>
      <w:r>
        <w:rPr>
          <w:rFonts w:hint="eastAsia" w:cs="Times New Roman"/>
          <w:b/>
          <w:bCs/>
          <w:kern w:val="2"/>
        </w:rPr>
        <w:t>“</w:t>
      </w:r>
      <w:r>
        <w:rPr>
          <w:rFonts w:hint="eastAsia" w:cs="微软雅黑"/>
          <w:b/>
          <w:bCs/>
          <w:kern w:val="2"/>
        </w:rPr>
        <w:t>开放式</w:t>
      </w:r>
      <w:r>
        <w:rPr>
          <w:rFonts w:hint="eastAsia" w:cs="Times New Roman"/>
          <w:b/>
          <w:bCs/>
          <w:kern w:val="2"/>
        </w:rPr>
        <w:t>”</w:t>
      </w:r>
      <w:r>
        <w:rPr>
          <w:rFonts w:hint="eastAsia" w:cs="微软雅黑"/>
          <w:b/>
          <w:bCs/>
          <w:kern w:val="2"/>
        </w:rPr>
        <w:t>实践教学</w:t>
      </w:r>
    </w:p>
    <w:p>
      <w:pPr>
        <w:widowControl w:val="0"/>
        <w:snapToGrid w:val="0"/>
        <w:spacing w:line="360" w:lineRule="auto"/>
        <w:ind w:firstLine="482" w:firstLineChars="200"/>
        <w:jc w:val="both"/>
        <w:rPr>
          <w:rFonts w:cs="微软雅黑"/>
          <w:bCs/>
          <w:kern w:val="2"/>
        </w:rPr>
      </w:pPr>
      <w:r>
        <w:rPr>
          <w:rFonts w:hint="eastAsia" w:cs="微软雅黑"/>
          <w:b/>
          <w:bCs/>
          <w:kern w:val="2"/>
        </w:rPr>
        <w:t>东方管理专业搭建了由本专业学生自主创办的“东方管理大学生论坛”，开创性地将以学生为主体的管理运营模式熔铸于教学实践环节之中</w:t>
      </w:r>
      <w:r>
        <w:rPr>
          <w:rFonts w:hint="eastAsia" w:cs="微软雅黑"/>
          <w:bCs/>
          <w:kern w:val="2"/>
        </w:rPr>
        <w:t>，距今已历九届，现已成为上海工程技术大学的品牌，为形成以学生实践为主体的教学活动起到示范作用。</w:t>
      </w:r>
    </w:p>
    <w:p>
      <w:pPr>
        <w:snapToGrid w:val="0"/>
        <w:spacing w:line="360" w:lineRule="auto"/>
        <w:ind w:firstLine="480" w:firstLineChars="200"/>
        <w:jc w:val="both"/>
        <w:rPr>
          <w:rFonts w:cs="微软雅黑"/>
          <w:b/>
          <w:bCs/>
          <w:kern w:val="2"/>
        </w:rPr>
      </w:pPr>
      <w:r>
        <w:rPr>
          <w:rFonts w:hint="eastAsia" w:cs="微软雅黑"/>
          <w:bCs/>
          <w:kern w:val="2"/>
        </w:rPr>
        <w:t>（二）以学生为核心，东方管理专业精心</w:t>
      </w:r>
      <w:r>
        <w:rPr>
          <w:rFonts w:hint="eastAsia" w:cs="微软雅黑"/>
          <w:b/>
          <w:bCs/>
          <w:kern w:val="2"/>
        </w:rPr>
        <w:t>设计</w:t>
      </w:r>
      <w:r>
        <w:rPr>
          <w:rFonts w:hint="eastAsia" w:cs="Times New Roman"/>
          <w:b/>
          <w:bCs/>
          <w:kern w:val="2"/>
        </w:rPr>
        <w:t>“</w:t>
      </w:r>
      <w:r>
        <w:rPr>
          <w:rFonts w:hint="eastAsia" w:cs="微软雅黑"/>
          <w:b/>
          <w:bCs/>
          <w:kern w:val="2"/>
        </w:rPr>
        <w:t>厚基础、重经典、多案例、双教学</w:t>
      </w:r>
      <w:r>
        <w:rPr>
          <w:rFonts w:hint="eastAsia" w:cs="Times New Roman"/>
          <w:b/>
          <w:bCs/>
          <w:kern w:val="2"/>
        </w:rPr>
        <w:t>”</w:t>
      </w:r>
      <w:r>
        <w:rPr>
          <w:rFonts w:hint="eastAsia" w:cs="微软雅黑"/>
          <w:b/>
          <w:bCs/>
          <w:kern w:val="2"/>
        </w:rPr>
        <w:t>的培养方案和富有东方管理特色的完整课程体系，并在完整课程体系的保障下，建立了一套完善开放性的专业人才培养模式。</w:t>
      </w:r>
    </w:p>
    <w:p>
      <w:pPr>
        <w:rPr>
          <w:rFonts w:cs="微软雅黑"/>
          <w:b/>
          <w:bCs/>
          <w:kern w:val="2"/>
        </w:rPr>
      </w:pPr>
    </w:p>
    <w:p>
      <w:r>
        <w:drawing>
          <wp:inline distT="0" distB="0" distL="114300" distR="114300">
            <wp:extent cx="5128260" cy="2179320"/>
            <wp:effectExtent l="0" t="0" r="2540" b="5080"/>
            <wp:docPr id="4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5"/>
                    <pic:cNvPicPr>
                      <a:picLocks noChangeAspect="1"/>
                    </pic:cNvPicPr>
                  </pic:nvPicPr>
                  <pic:blipFill>
                    <a:blip r:embed="rId21"/>
                    <a:stretch>
                      <a:fillRect/>
                    </a:stretch>
                  </pic:blipFill>
                  <pic:spPr>
                    <a:xfrm>
                      <a:off x="0" y="0"/>
                      <a:ext cx="5128260" cy="2179320"/>
                    </a:xfrm>
                    <a:prstGeom prst="rect">
                      <a:avLst/>
                    </a:prstGeom>
                    <a:noFill/>
                    <a:ln>
                      <a:noFill/>
                    </a:ln>
                  </pic:spPr>
                </pic:pic>
              </a:graphicData>
            </a:graphic>
          </wp:inline>
        </w:drawing>
      </w:r>
    </w:p>
    <w:p>
      <w:pPr>
        <w:jc w:val="center"/>
      </w:pPr>
      <w:r>
        <w:rPr>
          <w:rFonts w:hint="eastAsia"/>
        </w:rPr>
        <w:t>图</w:t>
      </w:r>
      <w:r>
        <w:t>8-</w:t>
      </w:r>
      <w:r>
        <w:rPr>
          <w:rFonts w:hint="eastAsia"/>
        </w:rPr>
        <w:t>1东方管理专业培养目标与培养模式</w:t>
      </w:r>
    </w:p>
    <w:p>
      <w:pPr>
        <w:pStyle w:val="3"/>
        <w:snapToGrid w:val="0"/>
        <w:spacing w:after="120" w:line="415" w:lineRule="auto"/>
        <w:jc w:val="left"/>
        <w:rPr>
          <w:rFonts w:ascii="宋体" w:hAnsi="宋体"/>
          <w:sz w:val="28"/>
          <w:szCs w:val="28"/>
        </w:rPr>
      </w:pPr>
      <w:bookmarkStart w:id="94" w:name="_Toc155617908"/>
      <w:r>
        <w:rPr>
          <w:rFonts w:ascii="宋体" w:hAnsi="宋体"/>
          <w:sz w:val="28"/>
          <w:szCs w:val="28"/>
        </w:rPr>
        <w:t>9.</w:t>
      </w:r>
      <w:r>
        <w:rPr>
          <w:rFonts w:hint="eastAsia" w:ascii="宋体" w:hAnsi="宋体"/>
          <w:sz w:val="28"/>
          <w:szCs w:val="28"/>
        </w:rPr>
        <w:t>问题与对策</w:t>
      </w:r>
      <w:bookmarkEnd w:id="94"/>
    </w:p>
    <w:p>
      <w:pPr>
        <w:shd w:val="clear" w:color="auto" w:fill="FFFFFF"/>
        <w:snapToGrid w:val="0"/>
        <w:spacing w:line="360" w:lineRule="auto"/>
        <w:ind w:firstLine="480" w:firstLineChars="200"/>
        <w:jc w:val="both"/>
        <w:rPr>
          <w:rFonts w:ascii="微软雅黑" w:hAnsi="微软雅黑" w:eastAsia="微软雅黑"/>
          <w:color w:val="333333"/>
          <w:sz w:val="15"/>
          <w:szCs w:val="15"/>
        </w:rPr>
      </w:pPr>
      <w:r>
        <w:rPr>
          <w:rFonts w:hint="eastAsia"/>
          <w:color w:val="333333"/>
        </w:rPr>
        <w:t>针对影响专业教学质量突出问题，分析主要原因，提出解决问题的措施及建议</w:t>
      </w:r>
      <w:r>
        <w:rPr>
          <w:rFonts w:ascii="微软雅黑" w:hAnsi="微软雅黑" w:eastAsia="微软雅黑"/>
          <w:color w:val="333333"/>
          <w:sz w:val="15"/>
          <w:szCs w:val="15"/>
        </w:rPr>
        <w:t>。</w:t>
      </w:r>
    </w:p>
    <w:p>
      <w:pPr>
        <w:shd w:val="clear" w:color="auto" w:fill="FFFFFF"/>
        <w:snapToGrid w:val="0"/>
        <w:spacing w:line="360" w:lineRule="auto"/>
        <w:ind w:firstLine="482" w:firstLineChars="200"/>
        <w:jc w:val="both"/>
        <w:outlineLvl w:val="1"/>
        <w:rPr>
          <w:b/>
          <w:color w:val="333333"/>
        </w:rPr>
      </w:pPr>
      <w:r>
        <w:rPr>
          <w:rFonts w:hint="eastAsia"/>
          <w:b/>
          <w:color w:val="333333"/>
        </w:rPr>
        <w:t>（一）主要问题及原因</w:t>
      </w:r>
    </w:p>
    <w:p>
      <w:pPr>
        <w:snapToGrid w:val="0"/>
        <w:spacing w:line="360" w:lineRule="auto"/>
        <w:ind w:firstLine="482" w:firstLineChars="200"/>
        <w:jc w:val="both"/>
        <w:rPr>
          <w:b/>
        </w:rPr>
      </w:pPr>
      <w:bookmarkStart w:id="95" w:name="_Toc240367090"/>
      <w:r>
        <w:rPr>
          <w:rFonts w:hint="eastAsia" w:cs="仿宋_GB2312"/>
          <w:b/>
        </w:rPr>
        <w:t>（</w:t>
      </w:r>
      <w:r>
        <w:rPr>
          <w:rFonts w:hint="eastAsia"/>
          <w:b/>
        </w:rPr>
        <w:t>1</w:t>
      </w:r>
      <w:r>
        <w:rPr>
          <w:rFonts w:hint="eastAsia" w:cs="仿宋_GB2312"/>
          <w:b/>
        </w:rPr>
        <w:t>）需丰富教材</w:t>
      </w:r>
      <w:bookmarkEnd w:id="95"/>
      <w:r>
        <w:rPr>
          <w:rFonts w:hint="eastAsia" w:cs="仿宋_GB2312"/>
          <w:b/>
        </w:rPr>
        <w:t>资源</w:t>
      </w:r>
    </w:p>
    <w:p>
      <w:pPr>
        <w:shd w:val="clear" w:color="auto" w:fill="FFFFFF"/>
        <w:snapToGrid w:val="0"/>
        <w:spacing w:line="360" w:lineRule="auto"/>
        <w:ind w:firstLine="480" w:firstLineChars="200"/>
        <w:jc w:val="both"/>
        <w:rPr>
          <w:rFonts w:cs="仿宋_GB2312"/>
        </w:rPr>
      </w:pPr>
      <w:r>
        <w:rPr>
          <w:rFonts w:hint="eastAsia" w:cs="仿宋_GB2312"/>
        </w:rPr>
        <w:t>我校东方管理专业建设年限不长，通过不断摸索适合东方管理专业的教学模式，在东方管理、华商管理及中国管理等专业课的教学模式上已经初步具备了一定的基础。但是，在作为全国示范性专业的目标下，要积极与复旦大学、上海外国语大学等全国各高校从事东方管理教学的教师沟通，探索更优化的教学模式。需通过整合现有教学资源，编著一批专业教材尤其是特色案例类教材，建设东方管理案例库。</w:t>
      </w:r>
    </w:p>
    <w:p>
      <w:pPr>
        <w:shd w:val="clear" w:color="auto" w:fill="FFFFFF"/>
        <w:snapToGrid w:val="0"/>
        <w:spacing w:line="360" w:lineRule="auto"/>
        <w:ind w:firstLine="480" w:firstLineChars="200"/>
        <w:jc w:val="both"/>
        <w:rPr>
          <w:rFonts w:cs="仿宋_GB2312"/>
        </w:rPr>
      </w:pPr>
      <w:r>
        <w:rPr>
          <w:rFonts w:hint="eastAsia" w:cs="仿宋_GB2312"/>
        </w:rPr>
        <w:t>东方管理专业属于特色新兴专业，目前可供选择的东方管理专业教材和参考书籍还比较有限。我校东方管理专业作为今后东方管理的示范性专业，目前在教材编写的工作上有待于进一步强化。在开设东方管理、华商管理、中国管理、东西方文化比较这些课程时，要在教学中进一步深入思考，进一步完善这些专业课程的教材。</w:t>
      </w:r>
    </w:p>
    <w:p>
      <w:pPr>
        <w:spacing w:line="360" w:lineRule="auto"/>
        <w:ind w:firstLine="482" w:firstLineChars="200"/>
        <w:jc w:val="both"/>
        <w:rPr>
          <w:b/>
        </w:rPr>
      </w:pPr>
      <w:bookmarkStart w:id="96" w:name="_Toc238405409"/>
      <w:bookmarkStart w:id="97" w:name="_Toc240367091"/>
      <w:r>
        <w:rPr>
          <w:rFonts w:hint="eastAsia" w:cs="仿宋_GB2312"/>
          <w:b/>
        </w:rPr>
        <w:t>（</w:t>
      </w:r>
      <w:r>
        <w:rPr>
          <w:rFonts w:hint="eastAsia"/>
          <w:b/>
        </w:rPr>
        <w:t>2</w:t>
      </w:r>
      <w:r>
        <w:rPr>
          <w:rFonts w:hint="eastAsia" w:cs="仿宋_GB2312"/>
          <w:b/>
        </w:rPr>
        <w:t>）需进一步</w:t>
      </w:r>
      <w:bookmarkEnd w:id="96"/>
      <w:bookmarkEnd w:id="97"/>
      <w:r>
        <w:rPr>
          <w:rFonts w:hint="eastAsia" w:cs="仿宋_GB2312"/>
          <w:b/>
        </w:rPr>
        <w:t>引进高端海外人才</w:t>
      </w:r>
    </w:p>
    <w:p>
      <w:pPr>
        <w:shd w:val="clear" w:color="auto" w:fill="FFFFFF"/>
        <w:snapToGrid w:val="0"/>
        <w:spacing w:line="360" w:lineRule="auto"/>
        <w:ind w:firstLine="480" w:firstLineChars="200"/>
        <w:jc w:val="both"/>
        <w:rPr>
          <w:rFonts w:cs="仿宋_GB2312"/>
        </w:rPr>
      </w:pPr>
      <w:r>
        <w:rPr>
          <w:rFonts w:hint="eastAsia" w:cs="仿宋_GB2312"/>
        </w:rPr>
        <w:t>目前东方管理专业已经与加拿大、日本一些著名大学有教学与学术交流，2012年世界管理大学暨东方管理论坛在我校召开时成功邀请了日本的专家学者到我校来做专题讲座。2013年，专业组织教师赴加拿大温莎大学进行教学培训与学术交流。2014年至今，先后邀请了加拿大温莎大学奥德特商学院马振中教授、日本国立群马大学税所哲郎教授等国外知名高校专家学者来校讲学，进行教学与学术交流。东方管理专业要进一步发展，要加强专业教师出国交流的力度，积极与国外相关专业进行学术交流，积极参加国外高水平管理学会议，为专业发展提供更加先进的思想。东方管理专业要进一步发展，要让专业的教师拓宽国际视野，需要加强与世界著名学府的教学与学术交流。要加强专业教师出国交流的力度，积极与国外相关专业进行学术交流，积极参加国外高水平管理学会议，为专业发展提供更加先进的思想。</w:t>
      </w:r>
    </w:p>
    <w:p>
      <w:pPr>
        <w:shd w:val="clear" w:color="auto" w:fill="FFFFFF"/>
        <w:snapToGrid w:val="0"/>
        <w:spacing w:line="360" w:lineRule="auto"/>
        <w:ind w:firstLine="480" w:firstLineChars="200"/>
        <w:jc w:val="both"/>
        <w:rPr>
          <w:rFonts w:cs="仿宋_GB2312"/>
        </w:rPr>
      </w:pPr>
      <w:r>
        <w:rPr>
          <w:rFonts w:hint="eastAsia" w:cs="仿宋_GB2312"/>
        </w:rPr>
        <w:t>此外，还需要加强与世界著名学府的教学与学术交流。</w:t>
      </w:r>
      <w:r>
        <w:rPr>
          <w:rFonts w:hint="eastAsia" w:cs="仿宋_GB2312"/>
          <w:b/>
        </w:rPr>
        <w:t>要加强专业教师出国交流的力度，积极与国外相关专业进行学术交流，积极参加国外高水平管理学会议，为专业发展提供更加先进的思想。东方管理专业要进一步发展，要让专业的教师拓宽国际视野，需要加强与世界著名学府的教学与学术交流。</w:t>
      </w:r>
      <w:r>
        <w:rPr>
          <w:rFonts w:hint="eastAsia" w:cs="仿宋_GB2312"/>
        </w:rPr>
        <w:t>要加强专业教师出国交流的力度，积极与国外相关专业进行学术交流，积极参加国外高水平管理学会议，为专业发展提供更加先进的思想。</w:t>
      </w:r>
    </w:p>
    <w:p>
      <w:pPr>
        <w:snapToGrid w:val="0"/>
        <w:spacing w:line="360" w:lineRule="auto"/>
        <w:ind w:firstLine="482" w:firstLineChars="200"/>
        <w:jc w:val="both"/>
        <w:rPr>
          <w:b/>
        </w:rPr>
      </w:pPr>
      <w:bookmarkStart w:id="98" w:name="_Toc238405413"/>
      <w:bookmarkStart w:id="99" w:name="_Toc240367092"/>
      <w:r>
        <w:rPr>
          <w:rFonts w:hint="eastAsia" w:cs="仿宋_GB2312"/>
          <w:b/>
        </w:rPr>
        <w:t>（</w:t>
      </w:r>
      <w:r>
        <w:rPr>
          <w:rFonts w:hint="eastAsia"/>
          <w:b/>
        </w:rPr>
        <w:t>3</w:t>
      </w:r>
      <w:r>
        <w:rPr>
          <w:rFonts w:hint="eastAsia" w:cs="仿宋_GB2312"/>
          <w:b/>
        </w:rPr>
        <w:t>）学生的职业生涯规划教育需要进一步提升</w:t>
      </w:r>
      <w:bookmarkEnd w:id="98"/>
      <w:bookmarkEnd w:id="99"/>
    </w:p>
    <w:p>
      <w:pPr>
        <w:shd w:val="clear" w:color="auto" w:fill="FFFFFF"/>
        <w:snapToGrid w:val="0"/>
        <w:spacing w:line="360" w:lineRule="auto"/>
        <w:ind w:firstLine="480" w:firstLineChars="200"/>
        <w:jc w:val="both"/>
        <w:rPr>
          <w:rFonts w:cs="仿宋_GB2312"/>
        </w:rPr>
      </w:pPr>
      <w:r>
        <w:rPr>
          <w:rFonts w:hint="eastAsia" w:cs="仿宋_GB2312"/>
        </w:rPr>
        <w:t>东方管理专业的学生在课堂教育中强调“三为”、“四治”、“五行”，其中“四治”当中就有专门一章来讲“治身”。所谓“修身、齐家、治国、平天下”，想要有一番作为，首先要修身养性，修己才能安人。</w:t>
      </w:r>
      <w:r>
        <w:rPr>
          <w:rFonts w:hint="eastAsia" w:cs="仿宋_GB2312"/>
          <w:b/>
        </w:rPr>
        <w:t>大学的教育，从根本上是让学生形成一种正确的思维方式，拓宽学生的视野。大学是学生形成世界观、人生观、价值观的重要时期，抓住这段时间提高学生的人文素养，会让学生终身受益。</w:t>
      </w:r>
      <w:r>
        <w:rPr>
          <w:rFonts w:hint="eastAsia" w:cs="仿宋_GB2312"/>
        </w:rPr>
        <w:t>目前，东方管理专业的教育对于中华传统文化中的精华的学习并不充分，很少有学生真正能耐下心来去阅读一些人文经典著作。在大学这样一个最为美好的岁月里，能接受真正的人文关怀的经典，应该对学生一生都有益处。</w:t>
      </w:r>
    </w:p>
    <w:p>
      <w:pPr>
        <w:shd w:val="clear" w:color="auto" w:fill="FFFFFF"/>
        <w:snapToGrid w:val="0"/>
        <w:spacing w:line="360" w:lineRule="auto"/>
        <w:ind w:firstLine="357"/>
        <w:jc w:val="both"/>
        <w:outlineLvl w:val="1"/>
        <w:rPr>
          <w:b/>
        </w:rPr>
      </w:pPr>
      <w:r>
        <w:rPr>
          <w:rFonts w:hint="eastAsia"/>
          <w:b/>
        </w:rPr>
        <w:t>（二）主要改革举措及建议</w:t>
      </w:r>
    </w:p>
    <w:p>
      <w:pPr>
        <w:shd w:val="clear" w:color="auto" w:fill="FFFFFF"/>
        <w:snapToGrid w:val="0"/>
        <w:spacing w:line="360" w:lineRule="auto"/>
        <w:ind w:firstLine="360"/>
        <w:jc w:val="both"/>
        <w:rPr>
          <w:b/>
        </w:rPr>
      </w:pPr>
      <w:r>
        <w:rPr>
          <w:rFonts w:hint="eastAsia"/>
          <w:b/>
        </w:rPr>
        <w:t>（1）加大重点课程教材建设力度</w:t>
      </w:r>
    </w:p>
    <w:p>
      <w:pPr>
        <w:shd w:val="clear" w:color="auto" w:fill="FFFFFF"/>
        <w:snapToGrid w:val="0"/>
        <w:spacing w:line="360" w:lineRule="auto"/>
        <w:ind w:firstLine="360"/>
        <w:jc w:val="both"/>
      </w:pPr>
      <w:r>
        <w:rPr>
          <w:rFonts w:hint="eastAsia"/>
        </w:rPr>
        <w:t>拟选择一批基础好、地位重要或有特色的课程(如东方管理概论、华商管理等)进行东方管理系列教材建设，邀请国内外著名学者共同参与编著和修订东方管理系列教材，打造东方管理案例库。</w:t>
      </w:r>
    </w:p>
    <w:p>
      <w:pPr>
        <w:shd w:val="clear" w:color="auto" w:fill="FFFFFF"/>
        <w:snapToGrid w:val="0"/>
        <w:spacing w:line="360" w:lineRule="auto"/>
        <w:ind w:firstLine="360"/>
        <w:jc w:val="both"/>
      </w:pPr>
      <w:r>
        <w:rPr>
          <w:rFonts w:hint="eastAsia"/>
        </w:rPr>
        <w:t>具体措施是：</w:t>
      </w:r>
    </w:p>
    <w:p>
      <w:pPr>
        <w:shd w:val="clear" w:color="auto" w:fill="FFFFFF"/>
        <w:snapToGrid w:val="0"/>
        <w:spacing w:line="360" w:lineRule="auto"/>
        <w:ind w:firstLine="360"/>
        <w:jc w:val="both"/>
      </w:pPr>
      <w:r>
        <w:rPr>
          <w:rFonts w:hint="eastAsia"/>
        </w:rPr>
        <w:t>1)</w:t>
      </w:r>
      <w:r>
        <w:rPr>
          <w:rFonts w:hint="eastAsia"/>
        </w:rPr>
        <w:tab/>
      </w:r>
      <w:r>
        <w:rPr>
          <w:rFonts w:hint="eastAsia"/>
        </w:rPr>
        <w:t>组织教材编写组负责重点课程的教材建设：每个编写组至少由3人组成，其中2人应具有副教授以上职称；</w:t>
      </w:r>
    </w:p>
    <w:p>
      <w:pPr>
        <w:shd w:val="clear" w:color="auto" w:fill="FFFFFF"/>
        <w:snapToGrid w:val="0"/>
        <w:spacing w:line="360" w:lineRule="auto"/>
        <w:ind w:firstLine="360"/>
        <w:jc w:val="both"/>
      </w:pPr>
      <w:r>
        <w:rPr>
          <w:rFonts w:hint="eastAsia"/>
        </w:rPr>
        <w:t>2)</w:t>
      </w:r>
      <w:r>
        <w:rPr>
          <w:rFonts w:hint="eastAsia"/>
        </w:rPr>
        <w:tab/>
      </w:r>
      <w:r>
        <w:rPr>
          <w:rFonts w:hint="eastAsia"/>
        </w:rPr>
        <w:t>组织力量进行重点课程教材编写；</w:t>
      </w:r>
    </w:p>
    <w:p>
      <w:pPr>
        <w:shd w:val="clear" w:color="auto" w:fill="FFFFFF"/>
        <w:snapToGrid w:val="0"/>
        <w:spacing w:line="360" w:lineRule="auto"/>
        <w:ind w:firstLine="360"/>
        <w:jc w:val="both"/>
      </w:pPr>
      <w:r>
        <w:rPr>
          <w:rFonts w:hint="eastAsia"/>
        </w:rPr>
        <w:t>3)</w:t>
      </w:r>
      <w:r>
        <w:rPr>
          <w:rFonts w:hint="eastAsia"/>
        </w:rPr>
        <w:tab/>
      </w:r>
      <w:r>
        <w:rPr>
          <w:rFonts w:hint="eastAsia"/>
        </w:rPr>
        <w:t>强化在线课程教学方法和教学手段，争取在现有大学慕课（</w:t>
      </w:r>
      <w:r>
        <w:t>MOOC</w:t>
      </w:r>
      <w:r>
        <w:rPr>
          <w:rFonts w:hint="eastAsia"/>
        </w:rPr>
        <w:t>）的基础上再增加2门在线课程；</w:t>
      </w:r>
    </w:p>
    <w:p>
      <w:pPr>
        <w:shd w:val="clear" w:color="auto" w:fill="FFFFFF"/>
        <w:snapToGrid w:val="0"/>
        <w:spacing w:line="360" w:lineRule="auto"/>
        <w:ind w:firstLine="360"/>
        <w:jc w:val="both"/>
        <w:rPr>
          <w:b/>
        </w:rPr>
      </w:pPr>
      <w:r>
        <w:rPr>
          <w:rFonts w:hint="eastAsia"/>
          <w:b/>
        </w:rPr>
        <w:t xml:space="preserve">（2）加大对中青年教师培养 </w:t>
      </w:r>
    </w:p>
    <w:p>
      <w:pPr>
        <w:shd w:val="clear" w:color="auto" w:fill="FFFFFF"/>
        <w:snapToGrid w:val="0"/>
        <w:spacing w:line="360" w:lineRule="auto"/>
        <w:ind w:firstLine="480" w:firstLineChars="200"/>
        <w:jc w:val="both"/>
      </w:pPr>
      <w:r>
        <w:rPr>
          <w:rFonts w:hint="eastAsia"/>
        </w:rPr>
        <w:t>师资队伍国际化是世界一流大学的共同特征，专业特色要进一步发扬光大，就需要在全球范围内引进高层次人才，扩大名师效应。</w:t>
      </w:r>
      <w:r>
        <w:rPr>
          <w:rFonts w:hint="eastAsia"/>
          <w:b/>
        </w:rPr>
        <w:t>同时对本专业现有教师要求都要有国外学习、生活或培训的经历。</w:t>
      </w:r>
      <w:r>
        <w:rPr>
          <w:rFonts w:hint="eastAsia"/>
        </w:rPr>
        <w:t>未来在专业发展过程中，要立足本校，分批分次、有重点选派专业教师去国外一流大学访问、学习和参加学术交流，加强对教师的外语培训，着实提高本专业教师的外语应用能力。</w:t>
      </w:r>
    </w:p>
    <w:p>
      <w:pPr>
        <w:shd w:val="clear" w:color="auto" w:fill="FFFFFF"/>
        <w:snapToGrid w:val="0"/>
        <w:spacing w:line="360" w:lineRule="auto"/>
        <w:ind w:firstLine="360"/>
        <w:jc w:val="both"/>
      </w:pPr>
      <w:r>
        <w:rPr>
          <w:rFonts w:hint="eastAsia"/>
        </w:rPr>
        <w:t>在完善专业教师人才队伍建设方面，主要课程由教授带领指导，组成课程教学研究小组，进行课程教学的研究，形成教学人才梯队和合理的团队结构：</w:t>
      </w:r>
    </w:p>
    <w:p>
      <w:pPr>
        <w:shd w:val="clear" w:color="auto" w:fill="FFFFFF"/>
        <w:snapToGrid w:val="0"/>
        <w:spacing w:line="360" w:lineRule="auto"/>
        <w:ind w:firstLine="360"/>
        <w:jc w:val="both"/>
      </w:pPr>
      <w:r>
        <w:rPr>
          <w:rFonts w:hint="eastAsia"/>
        </w:rPr>
        <w:t>1)</w:t>
      </w:r>
      <w:r>
        <w:rPr>
          <w:rFonts w:hint="eastAsia"/>
        </w:rPr>
        <w:tab/>
      </w:r>
      <w:r>
        <w:rPr>
          <w:rFonts w:hint="eastAsia"/>
        </w:rPr>
        <w:t>邀请国外著名大学的教授作为高级访问学者前来讲学，进行学术交流。</w:t>
      </w:r>
    </w:p>
    <w:p>
      <w:pPr>
        <w:shd w:val="clear" w:color="auto" w:fill="FFFFFF"/>
        <w:snapToGrid w:val="0"/>
        <w:spacing w:line="360" w:lineRule="auto"/>
        <w:ind w:firstLine="360"/>
        <w:jc w:val="both"/>
      </w:pPr>
      <w:r>
        <w:rPr>
          <w:rFonts w:hint="eastAsia"/>
        </w:rPr>
        <w:t>2)</w:t>
      </w:r>
      <w:r>
        <w:rPr>
          <w:rFonts w:hint="eastAsia"/>
        </w:rPr>
        <w:tab/>
      </w:r>
      <w:r>
        <w:rPr>
          <w:rFonts w:hint="eastAsia"/>
        </w:rPr>
        <w:t>中、青的教师比例逐步达到5：5；</w:t>
      </w:r>
    </w:p>
    <w:p>
      <w:pPr>
        <w:shd w:val="clear" w:color="auto" w:fill="FFFFFF"/>
        <w:snapToGrid w:val="0"/>
        <w:spacing w:line="360" w:lineRule="auto"/>
        <w:ind w:firstLine="360"/>
        <w:jc w:val="both"/>
      </w:pPr>
      <w:r>
        <w:rPr>
          <w:rFonts w:hint="eastAsia"/>
        </w:rPr>
        <w:t>3)</w:t>
      </w:r>
      <w:r>
        <w:rPr>
          <w:rFonts w:hint="eastAsia"/>
        </w:rPr>
        <w:tab/>
      </w:r>
      <w:r>
        <w:rPr>
          <w:rFonts w:hint="eastAsia"/>
        </w:rPr>
        <w:t>提升40岁以下的高职称教师比例，完成梯队建设；</w:t>
      </w:r>
    </w:p>
    <w:p>
      <w:pPr>
        <w:shd w:val="clear" w:color="auto" w:fill="FFFFFF"/>
        <w:snapToGrid w:val="0"/>
        <w:spacing w:line="360" w:lineRule="auto"/>
        <w:ind w:firstLine="360"/>
        <w:jc w:val="both"/>
        <w:rPr>
          <w:b/>
        </w:rPr>
      </w:pPr>
      <w:r>
        <w:rPr>
          <w:rFonts w:hint="eastAsia"/>
          <w:b/>
        </w:rPr>
        <w:t>（3）充实学生的学习与职业生涯规划教育</w:t>
      </w:r>
    </w:p>
    <w:p>
      <w:pPr>
        <w:shd w:val="clear" w:color="auto" w:fill="FFFFFF"/>
        <w:snapToGrid w:val="0"/>
        <w:spacing w:line="360" w:lineRule="auto"/>
        <w:ind w:firstLine="480" w:firstLineChars="200"/>
        <w:jc w:val="both"/>
      </w:pPr>
      <w:r>
        <w:rPr>
          <w:rFonts w:hint="eastAsia"/>
        </w:rPr>
        <w:t>1)邀请毕业生每个学期与学生进行职业生涯辅导，形成机制。从学生的视角，教会学什么？怎么学？以及谁学的问题。</w:t>
      </w:r>
    </w:p>
    <w:p>
      <w:pPr>
        <w:shd w:val="clear" w:color="auto" w:fill="FFFFFF"/>
        <w:snapToGrid w:val="0"/>
        <w:spacing w:line="360" w:lineRule="auto"/>
        <w:ind w:firstLine="480" w:firstLineChars="200"/>
        <w:jc w:val="both"/>
      </w:pPr>
      <w:r>
        <w:rPr>
          <w:rFonts w:hint="eastAsia"/>
        </w:rPr>
        <w:t>2)加强学生学习基础知识，建立知识体系。通过对东西方企业管理案例分析和不同文化和管理理论比较分析的训练，使学生具备发现问题和解决问题的能力，完善学生所学与所用的结合，为未来做准备。</w:t>
      </w:r>
    </w:p>
    <w:p>
      <w:pPr>
        <w:shd w:val="clear" w:color="auto" w:fill="FFFFFF"/>
        <w:snapToGrid w:val="0"/>
        <w:spacing w:line="360" w:lineRule="auto"/>
        <w:ind w:firstLine="480" w:firstLineChars="200"/>
        <w:jc w:val="both"/>
      </w:pPr>
      <w:r>
        <w:rPr>
          <w:rFonts w:hint="eastAsia"/>
        </w:rPr>
        <w:t>3）鼓励和督促学生积极融入社会实践活动，参加创新创业大赛活动等，增强学生创新精神，培养社会责任感，提高学生整体综合素质水平。</w:t>
      </w:r>
    </w:p>
    <w:sectPr>
      <w:footerReference r:id="rId3" w:type="default"/>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Noto Sans Mono CJK JP Regular">
    <w:altName w:val="Segoe Print"/>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4871760"/>
      <w:docPartObj>
        <w:docPartGallery w:val="autotext"/>
      </w:docPartObj>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pStyle w:val="1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ljMjcyNGE4NGIxM2I4ZGZlYjlmNzE2NGQ3OTQ4NGYifQ=="/>
  </w:docVars>
  <w:rsids>
    <w:rsidRoot w:val="00172A27"/>
    <w:rsid w:val="00005C32"/>
    <w:rsid w:val="0001130E"/>
    <w:rsid w:val="000147A6"/>
    <w:rsid w:val="0001567C"/>
    <w:rsid w:val="000232EC"/>
    <w:rsid w:val="00030EB9"/>
    <w:rsid w:val="000349CB"/>
    <w:rsid w:val="000376E8"/>
    <w:rsid w:val="00046BCC"/>
    <w:rsid w:val="0008235F"/>
    <w:rsid w:val="000827A3"/>
    <w:rsid w:val="00084A44"/>
    <w:rsid w:val="00086622"/>
    <w:rsid w:val="00086AFF"/>
    <w:rsid w:val="00090C19"/>
    <w:rsid w:val="00092B09"/>
    <w:rsid w:val="00092FCB"/>
    <w:rsid w:val="000A4A8E"/>
    <w:rsid w:val="000A6EA2"/>
    <w:rsid w:val="000A75AF"/>
    <w:rsid w:val="000B2965"/>
    <w:rsid w:val="000B6B10"/>
    <w:rsid w:val="000B6F5F"/>
    <w:rsid w:val="000C5096"/>
    <w:rsid w:val="000D257F"/>
    <w:rsid w:val="000D2610"/>
    <w:rsid w:val="000D4DEC"/>
    <w:rsid w:val="000D5B9A"/>
    <w:rsid w:val="000D6BB3"/>
    <w:rsid w:val="000E14E9"/>
    <w:rsid w:val="000E1E49"/>
    <w:rsid w:val="000E5566"/>
    <w:rsid w:val="000E6FA3"/>
    <w:rsid w:val="000F2961"/>
    <w:rsid w:val="000F512F"/>
    <w:rsid w:val="00101CC0"/>
    <w:rsid w:val="001106E9"/>
    <w:rsid w:val="001129CE"/>
    <w:rsid w:val="001172DC"/>
    <w:rsid w:val="0012049A"/>
    <w:rsid w:val="0012596A"/>
    <w:rsid w:val="00141505"/>
    <w:rsid w:val="00143E48"/>
    <w:rsid w:val="00144968"/>
    <w:rsid w:val="00146A3A"/>
    <w:rsid w:val="001535F0"/>
    <w:rsid w:val="00156644"/>
    <w:rsid w:val="001625A2"/>
    <w:rsid w:val="00164DCB"/>
    <w:rsid w:val="00165054"/>
    <w:rsid w:val="0016592D"/>
    <w:rsid w:val="00172A27"/>
    <w:rsid w:val="00176907"/>
    <w:rsid w:val="00191D7C"/>
    <w:rsid w:val="001929CA"/>
    <w:rsid w:val="001944A0"/>
    <w:rsid w:val="001972DD"/>
    <w:rsid w:val="001A36AC"/>
    <w:rsid w:val="001A3DF8"/>
    <w:rsid w:val="001A4D22"/>
    <w:rsid w:val="001C7F33"/>
    <w:rsid w:val="001D2E93"/>
    <w:rsid w:val="001D3608"/>
    <w:rsid w:val="001D66EF"/>
    <w:rsid w:val="001E0717"/>
    <w:rsid w:val="001E7578"/>
    <w:rsid w:val="001F1060"/>
    <w:rsid w:val="002005D2"/>
    <w:rsid w:val="00200B9E"/>
    <w:rsid w:val="00201537"/>
    <w:rsid w:val="00207BC1"/>
    <w:rsid w:val="002123E7"/>
    <w:rsid w:val="00214E34"/>
    <w:rsid w:val="00225EF1"/>
    <w:rsid w:val="00230A4C"/>
    <w:rsid w:val="0024103E"/>
    <w:rsid w:val="00242E0B"/>
    <w:rsid w:val="00243964"/>
    <w:rsid w:val="00261047"/>
    <w:rsid w:val="00262F04"/>
    <w:rsid w:val="00263B5B"/>
    <w:rsid w:val="00276122"/>
    <w:rsid w:val="002814D0"/>
    <w:rsid w:val="00292D29"/>
    <w:rsid w:val="002948EA"/>
    <w:rsid w:val="00295FB3"/>
    <w:rsid w:val="00296E12"/>
    <w:rsid w:val="002A34CC"/>
    <w:rsid w:val="002A4CDF"/>
    <w:rsid w:val="002B7934"/>
    <w:rsid w:val="002E2B6A"/>
    <w:rsid w:val="002F4257"/>
    <w:rsid w:val="002F71ED"/>
    <w:rsid w:val="00300B6F"/>
    <w:rsid w:val="00301EA2"/>
    <w:rsid w:val="00312C8F"/>
    <w:rsid w:val="00313E2F"/>
    <w:rsid w:val="003243B5"/>
    <w:rsid w:val="00325A07"/>
    <w:rsid w:val="0033287B"/>
    <w:rsid w:val="00334B0F"/>
    <w:rsid w:val="00335884"/>
    <w:rsid w:val="00337A06"/>
    <w:rsid w:val="00356E3E"/>
    <w:rsid w:val="00360200"/>
    <w:rsid w:val="0036133F"/>
    <w:rsid w:val="0036270F"/>
    <w:rsid w:val="003716E3"/>
    <w:rsid w:val="003720EE"/>
    <w:rsid w:val="00375381"/>
    <w:rsid w:val="00383CB3"/>
    <w:rsid w:val="003A01C5"/>
    <w:rsid w:val="003A2BC0"/>
    <w:rsid w:val="003A4CEF"/>
    <w:rsid w:val="003A5DC9"/>
    <w:rsid w:val="003B3F86"/>
    <w:rsid w:val="003B4D7A"/>
    <w:rsid w:val="003B5743"/>
    <w:rsid w:val="003B5821"/>
    <w:rsid w:val="003C2F5D"/>
    <w:rsid w:val="003C6F6F"/>
    <w:rsid w:val="003C7E47"/>
    <w:rsid w:val="003D4237"/>
    <w:rsid w:val="003D5844"/>
    <w:rsid w:val="003E18E9"/>
    <w:rsid w:val="003E3C59"/>
    <w:rsid w:val="003E684A"/>
    <w:rsid w:val="003F043D"/>
    <w:rsid w:val="003F2801"/>
    <w:rsid w:val="003F5397"/>
    <w:rsid w:val="003F7065"/>
    <w:rsid w:val="00400D8F"/>
    <w:rsid w:val="00403F19"/>
    <w:rsid w:val="0040544D"/>
    <w:rsid w:val="00415C32"/>
    <w:rsid w:val="00422C8B"/>
    <w:rsid w:val="0043005D"/>
    <w:rsid w:val="00434E70"/>
    <w:rsid w:val="00437040"/>
    <w:rsid w:val="00451B74"/>
    <w:rsid w:val="00460019"/>
    <w:rsid w:val="004644E2"/>
    <w:rsid w:val="00473CCB"/>
    <w:rsid w:val="0048459B"/>
    <w:rsid w:val="00485557"/>
    <w:rsid w:val="0049281E"/>
    <w:rsid w:val="00492D16"/>
    <w:rsid w:val="00494495"/>
    <w:rsid w:val="004A1531"/>
    <w:rsid w:val="004A29AB"/>
    <w:rsid w:val="004A5277"/>
    <w:rsid w:val="004B05E2"/>
    <w:rsid w:val="004C3E00"/>
    <w:rsid w:val="004C4E32"/>
    <w:rsid w:val="004C5078"/>
    <w:rsid w:val="004D3393"/>
    <w:rsid w:val="004D513B"/>
    <w:rsid w:val="004E03B2"/>
    <w:rsid w:val="004E18DE"/>
    <w:rsid w:val="004E21AF"/>
    <w:rsid w:val="004F2FFB"/>
    <w:rsid w:val="00500516"/>
    <w:rsid w:val="005013FB"/>
    <w:rsid w:val="0050790C"/>
    <w:rsid w:val="00513018"/>
    <w:rsid w:val="00522EA9"/>
    <w:rsid w:val="00531C0B"/>
    <w:rsid w:val="0054186C"/>
    <w:rsid w:val="00541DED"/>
    <w:rsid w:val="00544737"/>
    <w:rsid w:val="005478BA"/>
    <w:rsid w:val="00554254"/>
    <w:rsid w:val="00562C44"/>
    <w:rsid w:val="00580CF4"/>
    <w:rsid w:val="00592A3A"/>
    <w:rsid w:val="00595F1D"/>
    <w:rsid w:val="00596CCE"/>
    <w:rsid w:val="005B4101"/>
    <w:rsid w:val="005B6883"/>
    <w:rsid w:val="005C3738"/>
    <w:rsid w:val="005C4D52"/>
    <w:rsid w:val="005D283A"/>
    <w:rsid w:val="005D2F84"/>
    <w:rsid w:val="005D7730"/>
    <w:rsid w:val="00605316"/>
    <w:rsid w:val="00605D42"/>
    <w:rsid w:val="006163DF"/>
    <w:rsid w:val="00620624"/>
    <w:rsid w:val="00631FFE"/>
    <w:rsid w:val="00643763"/>
    <w:rsid w:val="00644138"/>
    <w:rsid w:val="00652619"/>
    <w:rsid w:val="0065611F"/>
    <w:rsid w:val="00662EA1"/>
    <w:rsid w:val="00663B33"/>
    <w:rsid w:val="006663D4"/>
    <w:rsid w:val="0067425A"/>
    <w:rsid w:val="006763DF"/>
    <w:rsid w:val="0068178B"/>
    <w:rsid w:val="0068338E"/>
    <w:rsid w:val="0069288A"/>
    <w:rsid w:val="00697239"/>
    <w:rsid w:val="006A72DB"/>
    <w:rsid w:val="006B615E"/>
    <w:rsid w:val="006C24F1"/>
    <w:rsid w:val="006D5293"/>
    <w:rsid w:val="006D72D5"/>
    <w:rsid w:val="006F05E4"/>
    <w:rsid w:val="006F1096"/>
    <w:rsid w:val="006F4128"/>
    <w:rsid w:val="007137AD"/>
    <w:rsid w:val="0071499E"/>
    <w:rsid w:val="007165BA"/>
    <w:rsid w:val="00721909"/>
    <w:rsid w:val="00721FA5"/>
    <w:rsid w:val="0072716E"/>
    <w:rsid w:val="00727DD0"/>
    <w:rsid w:val="00730C50"/>
    <w:rsid w:val="00733AA1"/>
    <w:rsid w:val="00740295"/>
    <w:rsid w:val="00740853"/>
    <w:rsid w:val="0074663A"/>
    <w:rsid w:val="0075421B"/>
    <w:rsid w:val="007549AC"/>
    <w:rsid w:val="0075762C"/>
    <w:rsid w:val="00760606"/>
    <w:rsid w:val="0077541C"/>
    <w:rsid w:val="00776608"/>
    <w:rsid w:val="0078195A"/>
    <w:rsid w:val="007849F0"/>
    <w:rsid w:val="00785BBB"/>
    <w:rsid w:val="00790634"/>
    <w:rsid w:val="0079395C"/>
    <w:rsid w:val="00794A73"/>
    <w:rsid w:val="007A1CAC"/>
    <w:rsid w:val="007A5545"/>
    <w:rsid w:val="007B2E0B"/>
    <w:rsid w:val="007C5E14"/>
    <w:rsid w:val="007C678F"/>
    <w:rsid w:val="007D4AD2"/>
    <w:rsid w:val="007E3FE5"/>
    <w:rsid w:val="007E49C2"/>
    <w:rsid w:val="007F2627"/>
    <w:rsid w:val="007F2C77"/>
    <w:rsid w:val="007F2F37"/>
    <w:rsid w:val="00801A95"/>
    <w:rsid w:val="00802EFB"/>
    <w:rsid w:val="00813206"/>
    <w:rsid w:val="00816350"/>
    <w:rsid w:val="00821012"/>
    <w:rsid w:val="00830EFB"/>
    <w:rsid w:val="00836A73"/>
    <w:rsid w:val="00840DC7"/>
    <w:rsid w:val="008440EA"/>
    <w:rsid w:val="008471D9"/>
    <w:rsid w:val="00862D1E"/>
    <w:rsid w:val="00874ACC"/>
    <w:rsid w:val="00877FB8"/>
    <w:rsid w:val="00880BF7"/>
    <w:rsid w:val="00884201"/>
    <w:rsid w:val="00884A2C"/>
    <w:rsid w:val="00894425"/>
    <w:rsid w:val="008A3821"/>
    <w:rsid w:val="008B4989"/>
    <w:rsid w:val="008C2315"/>
    <w:rsid w:val="008C733D"/>
    <w:rsid w:val="008C77E2"/>
    <w:rsid w:val="008D1EF4"/>
    <w:rsid w:val="008D37D8"/>
    <w:rsid w:val="008D4D0A"/>
    <w:rsid w:val="008D6E2F"/>
    <w:rsid w:val="008E01F5"/>
    <w:rsid w:val="008E2D19"/>
    <w:rsid w:val="008F1E13"/>
    <w:rsid w:val="008F28AA"/>
    <w:rsid w:val="008F40C4"/>
    <w:rsid w:val="008F5C99"/>
    <w:rsid w:val="00901CE8"/>
    <w:rsid w:val="00902E1E"/>
    <w:rsid w:val="009072BA"/>
    <w:rsid w:val="00913FC8"/>
    <w:rsid w:val="00916339"/>
    <w:rsid w:val="00925B49"/>
    <w:rsid w:val="00925D89"/>
    <w:rsid w:val="00930090"/>
    <w:rsid w:val="009402C2"/>
    <w:rsid w:val="00940910"/>
    <w:rsid w:val="00940966"/>
    <w:rsid w:val="00946E5A"/>
    <w:rsid w:val="00947DC9"/>
    <w:rsid w:val="0095794E"/>
    <w:rsid w:val="009678BA"/>
    <w:rsid w:val="0097103B"/>
    <w:rsid w:val="00975076"/>
    <w:rsid w:val="00980310"/>
    <w:rsid w:val="009805AF"/>
    <w:rsid w:val="00990C06"/>
    <w:rsid w:val="0099147C"/>
    <w:rsid w:val="00994D35"/>
    <w:rsid w:val="009974EA"/>
    <w:rsid w:val="009B1C45"/>
    <w:rsid w:val="009B3153"/>
    <w:rsid w:val="009B4BDB"/>
    <w:rsid w:val="009C490F"/>
    <w:rsid w:val="009C5C59"/>
    <w:rsid w:val="009D437D"/>
    <w:rsid w:val="009F06FE"/>
    <w:rsid w:val="009F3D89"/>
    <w:rsid w:val="00A01188"/>
    <w:rsid w:val="00A111B3"/>
    <w:rsid w:val="00A268DE"/>
    <w:rsid w:val="00A30E1C"/>
    <w:rsid w:val="00A36C21"/>
    <w:rsid w:val="00A4799C"/>
    <w:rsid w:val="00A47CAE"/>
    <w:rsid w:val="00A508C4"/>
    <w:rsid w:val="00A50CA3"/>
    <w:rsid w:val="00A55987"/>
    <w:rsid w:val="00A67438"/>
    <w:rsid w:val="00A70BD5"/>
    <w:rsid w:val="00A7199E"/>
    <w:rsid w:val="00A87902"/>
    <w:rsid w:val="00A9217F"/>
    <w:rsid w:val="00A9277B"/>
    <w:rsid w:val="00AA7F9D"/>
    <w:rsid w:val="00AB0AA7"/>
    <w:rsid w:val="00AC5372"/>
    <w:rsid w:val="00AD21F4"/>
    <w:rsid w:val="00AD593B"/>
    <w:rsid w:val="00AE4C3C"/>
    <w:rsid w:val="00AE71EA"/>
    <w:rsid w:val="00AF2549"/>
    <w:rsid w:val="00AF70D5"/>
    <w:rsid w:val="00B046D0"/>
    <w:rsid w:val="00B23CA3"/>
    <w:rsid w:val="00B248C0"/>
    <w:rsid w:val="00B27CAC"/>
    <w:rsid w:val="00B3172B"/>
    <w:rsid w:val="00B33DDF"/>
    <w:rsid w:val="00B36CD1"/>
    <w:rsid w:val="00B4125E"/>
    <w:rsid w:val="00B500DA"/>
    <w:rsid w:val="00B53976"/>
    <w:rsid w:val="00B572EB"/>
    <w:rsid w:val="00B7496E"/>
    <w:rsid w:val="00B772BB"/>
    <w:rsid w:val="00B8323C"/>
    <w:rsid w:val="00B928B2"/>
    <w:rsid w:val="00BA176E"/>
    <w:rsid w:val="00BB3B87"/>
    <w:rsid w:val="00BD5F21"/>
    <w:rsid w:val="00BD7F1B"/>
    <w:rsid w:val="00BE0673"/>
    <w:rsid w:val="00BE42B4"/>
    <w:rsid w:val="00BE58D0"/>
    <w:rsid w:val="00BF21C6"/>
    <w:rsid w:val="00BF7454"/>
    <w:rsid w:val="00C00D1A"/>
    <w:rsid w:val="00C0158E"/>
    <w:rsid w:val="00C13054"/>
    <w:rsid w:val="00C130CA"/>
    <w:rsid w:val="00C148E2"/>
    <w:rsid w:val="00C15DD7"/>
    <w:rsid w:val="00C1703F"/>
    <w:rsid w:val="00C20FA2"/>
    <w:rsid w:val="00C35B6F"/>
    <w:rsid w:val="00C4403F"/>
    <w:rsid w:val="00C468FF"/>
    <w:rsid w:val="00C47F63"/>
    <w:rsid w:val="00C544B0"/>
    <w:rsid w:val="00C56CD4"/>
    <w:rsid w:val="00C6600E"/>
    <w:rsid w:val="00C8356F"/>
    <w:rsid w:val="00C836D6"/>
    <w:rsid w:val="00C867E7"/>
    <w:rsid w:val="00CA17DD"/>
    <w:rsid w:val="00CB7125"/>
    <w:rsid w:val="00CB798E"/>
    <w:rsid w:val="00CD4E59"/>
    <w:rsid w:val="00CD5D94"/>
    <w:rsid w:val="00CE4DD7"/>
    <w:rsid w:val="00CF36EB"/>
    <w:rsid w:val="00D0076F"/>
    <w:rsid w:val="00D027A4"/>
    <w:rsid w:val="00D0717F"/>
    <w:rsid w:val="00D119DB"/>
    <w:rsid w:val="00D13A6E"/>
    <w:rsid w:val="00D146F4"/>
    <w:rsid w:val="00D47C1A"/>
    <w:rsid w:val="00D502DC"/>
    <w:rsid w:val="00D513EC"/>
    <w:rsid w:val="00D5367E"/>
    <w:rsid w:val="00D55785"/>
    <w:rsid w:val="00D57478"/>
    <w:rsid w:val="00D61529"/>
    <w:rsid w:val="00D65A00"/>
    <w:rsid w:val="00D73227"/>
    <w:rsid w:val="00D744CE"/>
    <w:rsid w:val="00D77628"/>
    <w:rsid w:val="00D77A66"/>
    <w:rsid w:val="00D83154"/>
    <w:rsid w:val="00D905FA"/>
    <w:rsid w:val="00D93A2F"/>
    <w:rsid w:val="00D96714"/>
    <w:rsid w:val="00DA1E8A"/>
    <w:rsid w:val="00DA7182"/>
    <w:rsid w:val="00DB3BB4"/>
    <w:rsid w:val="00DB72EB"/>
    <w:rsid w:val="00DC1421"/>
    <w:rsid w:val="00DE1250"/>
    <w:rsid w:val="00DE6EE1"/>
    <w:rsid w:val="00DF59B8"/>
    <w:rsid w:val="00DF6387"/>
    <w:rsid w:val="00E12321"/>
    <w:rsid w:val="00E138B4"/>
    <w:rsid w:val="00E2340C"/>
    <w:rsid w:val="00E30105"/>
    <w:rsid w:val="00E349B7"/>
    <w:rsid w:val="00E35FBE"/>
    <w:rsid w:val="00E551C5"/>
    <w:rsid w:val="00E61680"/>
    <w:rsid w:val="00E7450F"/>
    <w:rsid w:val="00E8477E"/>
    <w:rsid w:val="00E84EF7"/>
    <w:rsid w:val="00E92CD9"/>
    <w:rsid w:val="00EA12FA"/>
    <w:rsid w:val="00EA2EA8"/>
    <w:rsid w:val="00EC6EE2"/>
    <w:rsid w:val="00ED4E1F"/>
    <w:rsid w:val="00ED7AA8"/>
    <w:rsid w:val="00EE2B30"/>
    <w:rsid w:val="00EE64EC"/>
    <w:rsid w:val="00EE7547"/>
    <w:rsid w:val="00EF247C"/>
    <w:rsid w:val="00EF305C"/>
    <w:rsid w:val="00EF64D1"/>
    <w:rsid w:val="00F01231"/>
    <w:rsid w:val="00F10CAD"/>
    <w:rsid w:val="00F141D7"/>
    <w:rsid w:val="00F16952"/>
    <w:rsid w:val="00F23D75"/>
    <w:rsid w:val="00F33163"/>
    <w:rsid w:val="00F34C8E"/>
    <w:rsid w:val="00F353B6"/>
    <w:rsid w:val="00F45161"/>
    <w:rsid w:val="00F51A71"/>
    <w:rsid w:val="00F5479C"/>
    <w:rsid w:val="00F57C6E"/>
    <w:rsid w:val="00F62B65"/>
    <w:rsid w:val="00F6606C"/>
    <w:rsid w:val="00F66572"/>
    <w:rsid w:val="00F82A5F"/>
    <w:rsid w:val="00F9636F"/>
    <w:rsid w:val="00FA30CC"/>
    <w:rsid w:val="00FA723F"/>
    <w:rsid w:val="00FA7244"/>
    <w:rsid w:val="00FD1DFF"/>
    <w:rsid w:val="00FD25C8"/>
    <w:rsid w:val="00FE2985"/>
    <w:rsid w:val="00FE323B"/>
    <w:rsid w:val="00FF10D6"/>
    <w:rsid w:val="00FF5810"/>
    <w:rsid w:val="01CC1A40"/>
    <w:rsid w:val="02201D8C"/>
    <w:rsid w:val="03A32C74"/>
    <w:rsid w:val="077C5CB6"/>
    <w:rsid w:val="0F582B65"/>
    <w:rsid w:val="11DF7744"/>
    <w:rsid w:val="12371157"/>
    <w:rsid w:val="17F701AD"/>
    <w:rsid w:val="18CD0570"/>
    <w:rsid w:val="1EB4A10C"/>
    <w:rsid w:val="1ED3D6BD"/>
    <w:rsid w:val="1F7B93A4"/>
    <w:rsid w:val="239F440E"/>
    <w:rsid w:val="24C73138"/>
    <w:rsid w:val="25EE857A"/>
    <w:rsid w:val="26DC3C24"/>
    <w:rsid w:val="27DF1C1D"/>
    <w:rsid w:val="290652E1"/>
    <w:rsid w:val="2964150A"/>
    <w:rsid w:val="29AB6B74"/>
    <w:rsid w:val="2B3F2B00"/>
    <w:rsid w:val="2FE36023"/>
    <w:rsid w:val="313F4A36"/>
    <w:rsid w:val="32B76770"/>
    <w:rsid w:val="35CC5D8E"/>
    <w:rsid w:val="369AC28E"/>
    <w:rsid w:val="3779BA8B"/>
    <w:rsid w:val="378F3DFA"/>
    <w:rsid w:val="37FFF1AF"/>
    <w:rsid w:val="3B3D7B26"/>
    <w:rsid w:val="3B7E77FF"/>
    <w:rsid w:val="3E9BE5F0"/>
    <w:rsid w:val="3EAFC1A1"/>
    <w:rsid w:val="3ED9E2BA"/>
    <w:rsid w:val="3F7D83DD"/>
    <w:rsid w:val="3FBD5883"/>
    <w:rsid w:val="3FEF78B7"/>
    <w:rsid w:val="3FEF81C2"/>
    <w:rsid w:val="3FEFA5C9"/>
    <w:rsid w:val="42ED2FE9"/>
    <w:rsid w:val="43DD123C"/>
    <w:rsid w:val="472F6915"/>
    <w:rsid w:val="499FDAB7"/>
    <w:rsid w:val="4AF75521"/>
    <w:rsid w:val="4D5D4148"/>
    <w:rsid w:val="4FA3633E"/>
    <w:rsid w:val="4FB9F674"/>
    <w:rsid w:val="4FBD9AE1"/>
    <w:rsid w:val="4FEAD47B"/>
    <w:rsid w:val="53037A15"/>
    <w:rsid w:val="535D6329"/>
    <w:rsid w:val="555EF003"/>
    <w:rsid w:val="5577E46E"/>
    <w:rsid w:val="579D4C3D"/>
    <w:rsid w:val="57D30C04"/>
    <w:rsid w:val="57EB589E"/>
    <w:rsid w:val="57ED7669"/>
    <w:rsid w:val="57FBEA60"/>
    <w:rsid w:val="57FF3DA2"/>
    <w:rsid w:val="5B5B3832"/>
    <w:rsid w:val="5B6FD8FF"/>
    <w:rsid w:val="5BB6B112"/>
    <w:rsid w:val="5BCEFA55"/>
    <w:rsid w:val="5D7D7D3C"/>
    <w:rsid w:val="5DCF6112"/>
    <w:rsid w:val="5F5C7E65"/>
    <w:rsid w:val="5F5FAC52"/>
    <w:rsid w:val="5F702B80"/>
    <w:rsid w:val="5F9F83DD"/>
    <w:rsid w:val="5FDDADA4"/>
    <w:rsid w:val="5FEF6038"/>
    <w:rsid w:val="5FF7777B"/>
    <w:rsid w:val="5FFE559A"/>
    <w:rsid w:val="5FFFCAE8"/>
    <w:rsid w:val="63E990AF"/>
    <w:rsid w:val="63FE2AB5"/>
    <w:rsid w:val="64794284"/>
    <w:rsid w:val="64CC6AAA"/>
    <w:rsid w:val="66FA0E08"/>
    <w:rsid w:val="67BF16F4"/>
    <w:rsid w:val="67FB26D8"/>
    <w:rsid w:val="6B3DEC4F"/>
    <w:rsid w:val="6DBB3845"/>
    <w:rsid w:val="6DFAA7D3"/>
    <w:rsid w:val="6F6F67EE"/>
    <w:rsid w:val="6FFCC046"/>
    <w:rsid w:val="6FFF7055"/>
    <w:rsid w:val="719ED4FA"/>
    <w:rsid w:val="71BE69BD"/>
    <w:rsid w:val="72D82ABE"/>
    <w:rsid w:val="72FF32DC"/>
    <w:rsid w:val="73FA298D"/>
    <w:rsid w:val="75022465"/>
    <w:rsid w:val="7552152F"/>
    <w:rsid w:val="75652C50"/>
    <w:rsid w:val="75BF3733"/>
    <w:rsid w:val="75DFBB99"/>
    <w:rsid w:val="760F44DC"/>
    <w:rsid w:val="763AB352"/>
    <w:rsid w:val="7657D0B6"/>
    <w:rsid w:val="7684F0F8"/>
    <w:rsid w:val="76D709C0"/>
    <w:rsid w:val="76EF8DD4"/>
    <w:rsid w:val="778F61CB"/>
    <w:rsid w:val="779C612F"/>
    <w:rsid w:val="77E915C5"/>
    <w:rsid w:val="77FDAB82"/>
    <w:rsid w:val="7859DE25"/>
    <w:rsid w:val="7A6F3041"/>
    <w:rsid w:val="7AFFAC31"/>
    <w:rsid w:val="7B9BD002"/>
    <w:rsid w:val="7BDC3878"/>
    <w:rsid w:val="7BFB214F"/>
    <w:rsid w:val="7CEE5E5D"/>
    <w:rsid w:val="7D5E1222"/>
    <w:rsid w:val="7D63E3B8"/>
    <w:rsid w:val="7D7B160E"/>
    <w:rsid w:val="7DD7687D"/>
    <w:rsid w:val="7DDE1C17"/>
    <w:rsid w:val="7DDF7FB1"/>
    <w:rsid w:val="7DFFD23C"/>
    <w:rsid w:val="7E4E61F3"/>
    <w:rsid w:val="7E7F3CD6"/>
    <w:rsid w:val="7EB7D6AB"/>
    <w:rsid w:val="7EBD06A9"/>
    <w:rsid w:val="7ED58BC5"/>
    <w:rsid w:val="7EDF8A95"/>
    <w:rsid w:val="7F5AD762"/>
    <w:rsid w:val="7F5BA990"/>
    <w:rsid w:val="7F63F221"/>
    <w:rsid w:val="7F7DCDE4"/>
    <w:rsid w:val="7F7F29F2"/>
    <w:rsid w:val="7FB77E89"/>
    <w:rsid w:val="7FBFA14E"/>
    <w:rsid w:val="7FCA77AD"/>
    <w:rsid w:val="7FD97833"/>
    <w:rsid w:val="7FDD903C"/>
    <w:rsid w:val="7FEBA015"/>
    <w:rsid w:val="7FED6DE2"/>
    <w:rsid w:val="7FF243A6"/>
    <w:rsid w:val="7FF72C83"/>
    <w:rsid w:val="7FFCE7AE"/>
    <w:rsid w:val="7FFEB0CD"/>
    <w:rsid w:val="7FFEFA9B"/>
    <w:rsid w:val="7FFFCA14"/>
    <w:rsid w:val="95EF1148"/>
    <w:rsid w:val="970AE55E"/>
    <w:rsid w:val="976FB4D7"/>
    <w:rsid w:val="9BFF865E"/>
    <w:rsid w:val="9E2F77DE"/>
    <w:rsid w:val="9FDFD7BC"/>
    <w:rsid w:val="A32F2A4B"/>
    <w:rsid w:val="A3BBBD82"/>
    <w:rsid w:val="A7DD06F0"/>
    <w:rsid w:val="AB7707E6"/>
    <w:rsid w:val="AEFFA18A"/>
    <w:rsid w:val="AF95F6B7"/>
    <w:rsid w:val="B3EDD32F"/>
    <w:rsid w:val="B7BF64E0"/>
    <w:rsid w:val="B7F3C9D4"/>
    <w:rsid w:val="B7F61098"/>
    <w:rsid w:val="B7FF3200"/>
    <w:rsid w:val="BB7DB8F4"/>
    <w:rsid w:val="BCCDFA48"/>
    <w:rsid w:val="BD7BDBC2"/>
    <w:rsid w:val="BD7E0912"/>
    <w:rsid w:val="BE5C2A91"/>
    <w:rsid w:val="BF9F38B0"/>
    <w:rsid w:val="BFBF9CBE"/>
    <w:rsid w:val="BFF4758A"/>
    <w:rsid w:val="BFFE840A"/>
    <w:rsid w:val="CFDF5A0C"/>
    <w:rsid w:val="CFFB8691"/>
    <w:rsid w:val="CFFF77EE"/>
    <w:rsid w:val="D1ED72A5"/>
    <w:rsid w:val="D27FADF1"/>
    <w:rsid w:val="D7A6495A"/>
    <w:rsid w:val="D7BCE34D"/>
    <w:rsid w:val="D7E8673F"/>
    <w:rsid w:val="D7F9FCA5"/>
    <w:rsid w:val="DAEFFFC7"/>
    <w:rsid w:val="DAFAEAE5"/>
    <w:rsid w:val="DB7BD92C"/>
    <w:rsid w:val="DBD77E8A"/>
    <w:rsid w:val="DBFDC043"/>
    <w:rsid w:val="DBFF9FB6"/>
    <w:rsid w:val="DE7F24FD"/>
    <w:rsid w:val="DEEEE86F"/>
    <w:rsid w:val="DEFF268F"/>
    <w:rsid w:val="DEFFE266"/>
    <w:rsid w:val="DF7DF927"/>
    <w:rsid w:val="DF7FA52B"/>
    <w:rsid w:val="E33BE372"/>
    <w:rsid w:val="E3E713C8"/>
    <w:rsid w:val="E7FCE400"/>
    <w:rsid w:val="E9F6F938"/>
    <w:rsid w:val="EAFF0EE1"/>
    <w:rsid w:val="EDAE25CD"/>
    <w:rsid w:val="EDFD2F16"/>
    <w:rsid w:val="EF3FF7C2"/>
    <w:rsid w:val="EF6EBB0B"/>
    <w:rsid w:val="EF9F5CA3"/>
    <w:rsid w:val="EFAE5267"/>
    <w:rsid w:val="EFAFB76F"/>
    <w:rsid w:val="EFFBBBBD"/>
    <w:rsid w:val="F35E2EDA"/>
    <w:rsid w:val="F56F4898"/>
    <w:rsid w:val="F5F2B2C2"/>
    <w:rsid w:val="F6EF411F"/>
    <w:rsid w:val="F74D83EB"/>
    <w:rsid w:val="F77DD3AE"/>
    <w:rsid w:val="F87542BE"/>
    <w:rsid w:val="FABEDA77"/>
    <w:rsid w:val="FAFF05FB"/>
    <w:rsid w:val="FBCE8B42"/>
    <w:rsid w:val="FBE34AB2"/>
    <w:rsid w:val="FBE35C5D"/>
    <w:rsid w:val="FBFBC55D"/>
    <w:rsid w:val="FCB0378A"/>
    <w:rsid w:val="FCE7835F"/>
    <w:rsid w:val="FD778FFC"/>
    <w:rsid w:val="FDBFDE04"/>
    <w:rsid w:val="FDCFF0CF"/>
    <w:rsid w:val="FDF12A04"/>
    <w:rsid w:val="FDFD90AF"/>
    <w:rsid w:val="FE7F98B6"/>
    <w:rsid w:val="FEBC74C0"/>
    <w:rsid w:val="FEFB186E"/>
    <w:rsid w:val="FEFFE282"/>
    <w:rsid w:val="FF1F4C05"/>
    <w:rsid w:val="FF2D0DB0"/>
    <w:rsid w:val="FF4B2D9E"/>
    <w:rsid w:val="FF6F4042"/>
    <w:rsid w:val="FF733FFF"/>
    <w:rsid w:val="FF762974"/>
    <w:rsid w:val="FF7C6B2E"/>
    <w:rsid w:val="FF96C2F5"/>
    <w:rsid w:val="FF9BAE1C"/>
    <w:rsid w:val="FFBB676A"/>
    <w:rsid w:val="FFBF723B"/>
    <w:rsid w:val="FFBFAD0E"/>
    <w:rsid w:val="FFCBC92E"/>
    <w:rsid w:val="FFDE83B5"/>
    <w:rsid w:val="FFEF6C8E"/>
    <w:rsid w:val="FFF7798B"/>
    <w:rsid w:val="FFF9D2EC"/>
    <w:rsid w:val="FFFB1BB6"/>
    <w:rsid w:val="FFFCBC81"/>
    <w:rsid w:val="FFFD619A"/>
    <w:rsid w:val="FFFE504F"/>
    <w:rsid w:val="FFFEFF8A"/>
    <w:rsid w:val="FFFF89E8"/>
    <w:rsid w:val="FFFFA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link w:val="25"/>
    <w:qFormat/>
    <w:uiPriority w:val="9"/>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3">
    <w:name w:val="heading 2"/>
    <w:basedOn w:val="1"/>
    <w:next w:val="1"/>
    <w:link w:val="29"/>
    <w:qFormat/>
    <w:uiPriority w:val="9"/>
    <w:pPr>
      <w:keepNext/>
      <w:keepLines/>
      <w:widowControl w:val="0"/>
      <w:spacing w:before="260" w:after="260" w:line="416" w:lineRule="auto"/>
      <w:jc w:val="both"/>
      <w:outlineLvl w:val="1"/>
    </w:pPr>
    <w:rPr>
      <w:rFonts w:ascii="Cambria" w:hAnsi="Cambria" w:cs="Times New Roman"/>
      <w:b/>
      <w:bCs/>
      <w:kern w:val="2"/>
      <w:sz w:val="32"/>
      <w:szCs w:val="32"/>
    </w:rPr>
  </w:style>
  <w:style w:type="paragraph" w:styleId="4">
    <w:name w:val="heading 3"/>
    <w:basedOn w:val="1"/>
    <w:next w:val="1"/>
    <w:link w:val="30"/>
    <w:autoRedefine/>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3"/>
    <w:autoRedefine/>
    <w:unhideWhenUsed/>
    <w:qFormat/>
    <w:uiPriority w:val="9"/>
    <w:pPr>
      <w:keepNext/>
      <w:keepLines/>
      <w:spacing w:before="280" w:after="290" w:line="376" w:lineRule="auto"/>
      <w:outlineLvl w:val="4"/>
    </w:pPr>
    <w:rPr>
      <w:b/>
      <w:bCs/>
      <w:sz w:val="28"/>
      <w:szCs w:val="28"/>
    </w:rPr>
  </w:style>
  <w:style w:type="character" w:default="1" w:styleId="19">
    <w:name w:val="Default Paragraph Font"/>
    <w:semiHidden/>
    <w:unhideWhenUsed/>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link w:val="32"/>
    <w:autoRedefine/>
    <w:semiHidden/>
    <w:unhideWhenUsed/>
    <w:qFormat/>
    <w:uiPriority w:val="99"/>
  </w:style>
  <w:style w:type="paragraph" w:styleId="8">
    <w:name w:val="Body Text"/>
    <w:basedOn w:val="1"/>
    <w:link w:val="23"/>
    <w:autoRedefine/>
    <w:semiHidden/>
    <w:unhideWhenUsed/>
    <w:qFormat/>
    <w:uiPriority w:val="99"/>
    <w:pPr>
      <w:spacing w:before="100" w:beforeAutospacing="1" w:after="100" w:afterAutospacing="1"/>
    </w:pPr>
  </w:style>
  <w:style w:type="paragraph" w:styleId="9">
    <w:name w:val="toc 3"/>
    <w:basedOn w:val="1"/>
    <w:next w:val="1"/>
    <w:autoRedefine/>
    <w:unhideWhenUsed/>
    <w:qFormat/>
    <w:uiPriority w:val="39"/>
    <w:pPr>
      <w:tabs>
        <w:tab w:val="right" w:leader="dot" w:pos="8296"/>
      </w:tabs>
      <w:spacing w:line="360" w:lineRule="auto"/>
      <w:ind w:left="960" w:leftChars="400"/>
    </w:pPr>
  </w:style>
  <w:style w:type="paragraph" w:styleId="10">
    <w:name w:val="Date"/>
    <w:basedOn w:val="1"/>
    <w:next w:val="1"/>
    <w:link w:val="26"/>
    <w:autoRedefine/>
    <w:semiHidden/>
    <w:unhideWhenUsed/>
    <w:qFormat/>
    <w:uiPriority w:val="99"/>
    <w:pPr>
      <w:ind w:left="100" w:leftChars="2500"/>
    </w:pPr>
  </w:style>
  <w:style w:type="paragraph" w:styleId="11">
    <w:name w:val="endnote text"/>
    <w:basedOn w:val="1"/>
    <w:link w:val="34"/>
    <w:autoRedefine/>
    <w:semiHidden/>
    <w:unhideWhenUsed/>
    <w:qFormat/>
    <w:uiPriority w:val="99"/>
    <w:pPr>
      <w:snapToGrid w:val="0"/>
    </w:pPr>
  </w:style>
  <w:style w:type="paragraph" w:styleId="12">
    <w:name w:val="Balloon Text"/>
    <w:basedOn w:val="1"/>
    <w:link w:val="38"/>
    <w:autoRedefine/>
    <w:semiHidden/>
    <w:unhideWhenUsed/>
    <w:qFormat/>
    <w:uiPriority w:val="99"/>
    <w:rPr>
      <w:sz w:val="18"/>
      <w:szCs w:val="18"/>
    </w:rPr>
  </w:style>
  <w:style w:type="paragraph" w:styleId="13">
    <w:name w:val="footer"/>
    <w:basedOn w:val="1"/>
    <w:link w:val="36"/>
    <w:autoRedefine/>
    <w:unhideWhenUsed/>
    <w:qFormat/>
    <w:uiPriority w:val="99"/>
    <w:pPr>
      <w:tabs>
        <w:tab w:val="center" w:pos="4153"/>
        <w:tab w:val="right" w:pos="8306"/>
      </w:tabs>
      <w:snapToGrid w:val="0"/>
    </w:pPr>
    <w:rPr>
      <w:sz w:val="18"/>
      <w:szCs w:val="18"/>
    </w:rPr>
  </w:style>
  <w:style w:type="paragraph" w:styleId="14">
    <w:name w:val="header"/>
    <w:basedOn w:val="1"/>
    <w:link w:val="35"/>
    <w:autoRedefine/>
    <w:unhideWhenUsed/>
    <w:qFormat/>
    <w:uiPriority w:val="99"/>
    <w:pP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toc 2"/>
    <w:basedOn w:val="1"/>
    <w:next w:val="1"/>
    <w:autoRedefine/>
    <w:unhideWhenUsed/>
    <w:qFormat/>
    <w:uiPriority w:val="39"/>
    <w:pPr>
      <w:ind w:left="420" w:leftChars="200"/>
    </w:p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endnote reference"/>
    <w:basedOn w:val="19"/>
    <w:autoRedefine/>
    <w:semiHidden/>
    <w:unhideWhenUsed/>
    <w:qFormat/>
    <w:uiPriority w:val="99"/>
    <w:rPr>
      <w:vertAlign w:val="superscript"/>
    </w:rPr>
  </w:style>
  <w:style w:type="character" w:styleId="21">
    <w:name w:val="Hyperlink"/>
    <w:basedOn w:val="19"/>
    <w:autoRedefine/>
    <w:unhideWhenUsed/>
    <w:qFormat/>
    <w:uiPriority w:val="99"/>
    <w:rPr>
      <w:color w:val="0563C1" w:themeColor="hyperlink"/>
      <w:u w:val="single"/>
      <w14:textFill>
        <w14:solidFill>
          <w14:schemeClr w14:val="hlink"/>
        </w14:solidFill>
      </w14:textFill>
    </w:rPr>
  </w:style>
  <w:style w:type="character" w:styleId="22">
    <w:name w:val="annotation reference"/>
    <w:basedOn w:val="19"/>
    <w:autoRedefine/>
    <w:semiHidden/>
    <w:unhideWhenUsed/>
    <w:qFormat/>
    <w:uiPriority w:val="99"/>
    <w:rPr>
      <w:sz w:val="21"/>
      <w:szCs w:val="21"/>
    </w:rPr>
  </w:style>
  <w:style w:type="character" w:customStyle="1" w:styleId="23">
    <w:name w:val="正文文本 字符"/>
    <w:basedOn w:val="19"/>
    <w:link w:val="8"/>
    <w:autoRedefine/>
    <w:semiHidden/>
    <w:qFormat/>
    <w:uiPriority w:val="99"/>
    <w:rPr>
      <w:rFonts w:ascii="宋体" w:hAnsi="宋体" w:eastAsia="宋体" w:cs="宋体"/>
      <w:kern w:val="0"/>
      <w:sz w:val="24"/>
      <w:szCs w:val="24"/>
    </w:rPr>
  </w:style>
  <w:style w:type="paragraph" w:customStyle="1" w:styleId="24">
    <w:name w:val="11"/>
    <w:basedOn w:val="1"/>
    <w:autoRedefine/>
    <w:semiHidden/>
    <w:qFormat/>
    <w:uiPriority w:val="99"/>
    <w:pPr>
      <w:spacing w:before="100" w:beforeAutospacing="1" w:after="100" w:afterAutospacing="1"/>
    </w:pPr>
  </w:style>
  <w:style w:type="character" w:customStyle="1" w:styleId="25">
    <w:name w:val="标题 1 字符"/>
    <w:basedOn w:val="19"/>
    <w:link w:val="2"/>
    <w:autoRedefine/>
    <w:qFormat/>
    <w:uiPriority w:val="9"/>
    <w:rPr>
      <w:b/>
      <w:bCs/>
      <w:kern w:val="44"/>
      <w:sz w:val="44"/>
      <w:szCs w:val="44"/>
    </w:rPr>
  </w:style>
  <w:style w:type="character" w:customStyle="1" w:styleId="26">
    <w:name w:val="日期 字符"/>
    <w:basedOn w:val="19"/>
    <w:link w:val="10"/>
    <w:autoRedefine/>
    <w:semiHidden/>
    <w:qFormat/>
    <w:uiPriority w:val="99"/>
    <w:rPr>
      <w:rFonts w:ascii="宋体" w:hAnsi="宋体" w:eastAsia="宋体" w:cs="宋体"/>
      <w:kern w:val="0"/>
      <w:sz w:val="24"/>
      <w:szCs w:val="24"/>
    </w:rPr>
  </w:style>
  <w:style w:type="paragraph" w:customStyle="1" w:styleId="27">
    <w:name w:val="21"/>
    <w:basedOn w:val="1"/>
    <w:autoRedefine/>
    <w:semiHidden/>
    <w:qFormat/>
    <w:uiPriority w:val="99"/>
    <w:pPr>
      <w:spacing w:before="100" w:beforeAutospacing="1" w:after="100" w:afterAutospacing="1"/>
    </w:pPr>
  </w:style>
  <w:style w:type="paragraph" w:customStyle="1" w:styleId="28">
    <w:name w:val="tableparagraph"/>
    <w:basedOn w:val="1"/>
    <w:autoRedefine/>
    <w:semiHidden/>
    <w:qFormat/>
    <w:uiPriority w:val="99"/>
    <w:pPr>
      <w:spacing w:before="100" w:beforeAutospacing="1" w:after="100" w:afterAutospacing="1"/>
    </w:pPr>
  </w:style>
  <w:style w:type="character" w:customStyle="1" w:styleId="29">
    <w:name w:val="标题 2 字符"/>
    <w:basedOn w:val="19"/>
    <w:link w:val="3"/>
    <w:autoRedefine/>
    <w:qFormat/>
    <w:uiPriority w:val="9"/>
    <w:rPr>
      <w:rFonts w:ascii="Cambria" w:hAnsi="Cambria" w:eastAsia="宋体" w:cs="Times New Roman"/>
      <w:b/>
      <w:bCs/>
      <w:sz w:val="32"/>
      <w:szCs w:val="32"/>
    </w:rPr>
  </w:style>
  <w:style w:type="character" w:customStyle="1" w:styleId="30">
    <w:name w:val="标题 3 字符"/>
    <w:basedOn w:val="19"/>
    <w:link w:val="4"/>
    <w:autoRedefine/>
    <w:qFormat/>
    <w:uiPriority w:val="9"/>
    <w:rPr>
      <w:b/>
      <w:bCs/>
      <w:sz w:val="32"/>
      <w:szCs w:val="32"/>
    </w:rPr>
  </w:style>
  <w:style w:type="character" w:customStyle="1" w:styleId="31">
    <w:name w:val="标题 4 字符"/>
    <w:basedOn w:val="19"/>
    <w:link w:val="5"/>
    <w:autoRedefine/>
    <w:qFormat/>
    <w:uiPriority w:val="9"/>
    <w:rPr>
      <w:rFonts w:asciiTheme="majorHAnsi" w:hAnsiTheme="majorHAnsi" w:eastAsiaTheme="majorEastAsia" w:cstheme="majorBidi"/>
      <w:b/>
      <w:bCs/>
      <w:kern w:val="0"/>
      <w:sz w:val="28"/>
      <w:szCs w:val="28"/>
    </w:rPr>
  </w:style>
  <w:style w:type="character" w:customStyle="1" w:styleId="32">
    <w:name w:val="批注文字 字符"/>
    <w:basedOn w:val="19"/>
    <w:link w:val="7"/>
    <w:autoRedefine/>
    <w:semiHidden/>
    <w:qFormat/>
    <w:uiPriority w:val="99"/>
    <w:rPr>
      <w:rFonts w:ascii="宋体" w:hAnsi="宋体" w:eastAsia="宋体" w:cs="宋体"/>
      <w:kern w:val="0"/>
      <w:sz w:val="24"/>
      <w:szCs w:val="24"/>
    </w:rPr>
  </w:style>
  <w:style w:type="character" w:customStyle="1" w:styleId="33">
    <w:name w:val="标题 5 字符"/>
    <w:basedOn w:val="19"/>
    <w:link w:val="6"/>
    <w:autoRedefine/>
    <w:qFormat/>
    <w:uiPriority w:val="9"/>
    <w:rPr>
      <w:rFonts w:ascii="宋体" w:hAnsi="宋体" w:eastAsia="宋体" w:cs="宋体"/>
      <w:b/>
      <w:bCs/>
      <w:kern w:val="0"/>
      <w:sz w:val="28"/>
      <w:szCs w:val="28"/>
    </w:rPr>
  </w:style>
  <w:style w:type="character" w:customStyle="1" w:styleId="34">
    <w:name w:val="尾注文本 字符"/>
    <w:basedOn w:val="19"/>
    <w:link w:val="11"/>
    <w:autoRedefine/>
    <w:semiHidden/>
    <w:qFormat/>
    <w:uiPriority w:val="99"/>
    <w:rPr>
      <w:rFonts w:ascii="宋体" w:hAnsi="宋体" w:eastAsia="宋体" w:cs="宋体"/>
      <w:sz w:val="24"/>
      <w:szCs w:val="24"/>
    </w:rPr>
  </w:style>
  <w:style w:type="character" w:customStyle="1" w:styleId="35">
    <w:name w:val="页眉 字符"/>
    <w:basedOn w:val="19"/>
    <w:link w:val="14"/>
    <w:autoRedefine/>
    <w:qFormat/>
    <w:uiPriority w:val="99"/>
    <w:rPr>
      <w:rFonts w:ascii="宋体" w:hAnsi="宋体" w:eastAsia="宋体" w:cs="宋体"/>
      <w:sz w:val="18"/>
      <w:szCs w:val="18"/>
    </w:rPr>
  </w:style>
  <w:style w:type="character" w:customStyle="1" w:styleId="36">
    <w:name w:val="页脚 字符"/>
    <w:basedOn w:val="19"/>
    <w:link w:val="13"/>
    <w:autoRedefine/>
    <w:qFormat/>
    <w:uiPriority w:val="99"/>
    <w:rPr>
      <w:rFonts w:ascii="宋体" w:hAnsi="宋体" w:eastAsia="宋体" w:cs="宋体"/>
      <w:sz w:val="18"/>
      <w:szCs w:val="18"/>
    </w:rPr>
  </w:style>
  <w:style w:type="paragraph" w:customStyle="1" w:styleId="37">
    <w:name w:val="Revision"/>
    <w:autoRedefine/>
    <w:hidden/>
    <w:unhideWhenUsed/>
    <w:qFormat/>
    <w:uiPriority w:val="99"/>
    <w:rPr>
      <w:rFonts w:ascii="宋体" w:hAnsi="宋体" w:eastAsia="宋体" w:cs="宋体"/>
      <w:sz w:val="24"/>
      <w:szCs w:val="24"/>
      <w:lang w:val="en-US" w:eastAsia="zh-CN" w:bidi="ar-SA"/>
    </w:rPr>
  </w:style>
  <w:style w:type="character" w:customStyle="1" w:styleId="38">
    <w:name w:val="批注框文本 字符"/>
    <w:basedOn w:val="19"/>
    <w:link w:val="12"/>
    <w:autoRedefine/>
    <w:semiHidden/>
    <w:qFormat/>
    <w:uiPriority w:val="99"/>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emf"/><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3044</Words>
  <Characters>17353</Characters>
  <Lines>144</Lines>
  <Paragraphs>40</Paragraphs>
  <TotalTime>51</TotalTime>
  <ScaleCrop>false</ScaleCrop>
  <LinksUpToDate>false</LinksUpToDate>
  <CharactersWithSpaces>20357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2024-02-24T01:00:00Z</dcterms:created>
  <dc:creator>Lifan Zheng</dc:creator>
  <cp:lastModifiedBy>唐小霸</cp:lastModifiedBy>
  <dcterms:modified xsi:type="dcterms:W3CDTF">2024-03-08T06:57:04Z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253F8DEF0FCE412588BE2B678558630B_12</vt:lpwstr>
  </property>
</Properties>
</file>